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7C0" w:rsidRPr="00AF5791" w:rsidRDefault="000A67C0" w:rsidP="00D36FB9">
      <w:pPr>
        <w:spacing w:after="0" w:line="240" w:lineRule="auto"/>
        <w:jc w:val="both"/>
        <w:rPr>
          <w:rFonts w:eastAsia="Times New Roman" w:cs="Times New Roman"/>
          <w:sz w:val="24"/>
          <w:szCs w:val="24"/>
        </w:rPr>
      </w:pPr>
    </w:p>
    <w:p w:rsidR="000A67C0" w:rsidRPr="00AF5791" w:rsidRDefault="000A67C0" w:rsidP="00D36FB9">
      <w:pPr>
        <w:spacing w:after="0" w:line="240" w:lineRule="auto"/>
        <w:jc w:val="both"/>
        <w:rPr>
          <w:rFonts w:eastAsia="Times New Roman" w:cs="Times New Roman"/>
          <w:sz w:val="24"/>
          <w:szCs w:val="24"/>
        </w:rPr>
      </w:pPr>
    </w:p>
    <w:p w:rsidR="000A67C0" w:rsidRPr="00AF5791" w:rsidRDefault="000A67C0" w:rsidP="00D36FB9">
      <w:pPr>
        <w:spacing w:after="0" w:line="240" w:lineRule="auto"/>
        <w:jc w:val="both"/>
        <w:rPr>
          <w:rFonts w:eastAsia="Times New Roman" w:cs="Times New Roman"/>
          <w:sz w:val="24"/>
          <w:szCs w:val="24"/>
        </w:rPr>
      </w:pPr>
    </w:p>
    <w:p w:rsidR="000A67C0" w:rsidRPr="00AF5791" w:rsidRDefault="000A67C0" w:rsidP="00D36FB9">
      <w:pPr>
        <w:spacing w:after="0" w:line="240" w:lineRule="auto"/>
        <w:jc w:val="both"/>
        <w:rPr>
          <w:rFonts w:eastAsia="Times New Roman" w:cs="Times New Roman"/>
          <w:sz w:val="24"/>
          <w:szCs w:val="24"/>
        </w:rPr>
      </w:pPr>
    </w:p>
    <w:p w:rsidR="000A67C0" w:rsidRPr="00B2043E" w:rsidRDefault="000A67C0" w:rsidP="00D36FB9">
      <w:pPr>
        <w:spacing w:after="0" w:line="240" w:lineRule="auto"/>
        <w:jc w:val="both"/>
        <w:rPr>
          <w:rFonts w:eastAsia="Times New Roman" w:cs="Times New Roman"/>
        </w:rPr>
      </w:pPr>
    </w:p>
    <w:p w:rsidR="000A67C0" w:rsidRPr="00B2043E" w:rsidRDefault="00F732C7" w:rsidP="00D36FB9">
      <w:pPr>
        <w:spacing w:after="0" w:line="240" w:lineRule="auto"/>
        <w:jc w:val="both"/>
        <w:rPr>
          <w:rFonts w:asciiTheme="minorHAnsi" w:eastAsia="Times New Roman" w:hAnsiTheme="minorHAnsi" w:cs="Times New Roman"/>
          <w:lang w:val="en-US"/>
        </w:rPr>
      </w:pPr>
      <w:r w:rsidRPr="00B2043E">
        <w:rPr>
          <w:rFonts w:asciiTheme="minorHAnsi" w:hAnsiTheme="minorHAnsi" w:cs="Segoe UI"/>
          <w:lang w:val="en-US"/>
        </w:rPr>
        <w:t>The Committee on the Elimination of Discrimination against Women (CEDAW)</w:t>
      </w:r>
    </w:p>
    <w:p w:rsidR="000A67C0" w:rsidRPr="00B2043E" w:rsidRDefault="000A67C0" w:rsidP="00D36FB9">
      <w:pPr>
        <w:spacing w:after="0" w:line="240" w:lineRule="auto"/>
        <w:jc w:val="both"/>
        <w:rPr>
          <w:rFonts w:asciiTheme="minorHAnsi" w:eastAsia="Times New Roman" w:hAnsiTheme="minorHAnsi" w:cs="Times New Roman"/>
          <w:lang w:val="en-US"/>
        </w:rPr>
      </w:pPr>
    </w:p>
    <w:p w:rsidR="000A67C0" w:rsidRPr="00B2043E" w:rsidRDefault="000A67C0" w:rsidP="00D36FB9">
      <w:pPr>
        <w:spacing w:after="0" w:line="240" w:lineRule="auto"/>
        <w:jc w:val="both"/>
        <w:rPr>
          <w:rFonts w:asciiTheme="minorHAnsi" w:eastAsia="Times New Roman" w:hAnsiTheme="minorHAnsi" w:cs="Times New Roman"/>
          <w:lang w:val="en-US"/>
        </w:rPr>
      </w:pPr>
    </w:p>
    <w:p w:rsidR="00B7273B" w:rsidRPr="00B2043E" w:rsidRDefault="00F732C7" w:rsidP="00D36FB9">
      <w:pPr>
        <w:spacing w:after="240" w:line="240" w:lineRule="auto"/>
        <w:jc w:val="both"/>
        <w:rPr>
          <w:rFonts w:asciiTheme="minorHAnsi" w:eastAsia="Times New Roman" w:hAnsiTheme="minorHAnsi" w:cs="Times New Roman"/>
          <w:b/>
          <w:lang w:val="en-US"/>
        </w:rPr>
      </w:pPr>
      <w:r w:rsidRPr="00B2043E">
        <w:rPr>
          <w:rFonts w:asciiTheme="minorHAnsi" w:hAnsiTheme="minorHAnsi"/>
          <w:b/>
          <w:lang w:val="en-US"/>
        </w:rPr>
        <w:t>Statement on CEDAW General Recommendation on Trafficking in Women and Girls in the Context of Global Migration</w:t>
      </w:r>
    </w:p>
    <w:p w:rsidR="00181FD0" w:rsidRPr="00B2043E" w:rsidRDefault="009607F8" w:rsidP="00D25CF6">
      <w:pPr>
        <w:pStyle w:val="Heading1"/>
        <w:ind w:left="1304"/>
        <w:jc w:val="both"/>
        <w:rPr>
          <w:rFonts w:asciiTheme="minorHAnsi" w:eastAsia="Times New Roman" w:hAnsiTheme="minorHAnsi" w:cs="Times New Roman"/>
          <w:color w:val="auto"/>
          <w:sz w:val="22"/>
          <w:szCs w:val="22"/>
          <w:lang w:val="en-US"/>
        </w:rPr>
      </w:pPr>
      <w:r w:rsidRPr="00B2043E">
        <w:rPr>
          <w:rFonts w:asciiTheme="minorHAnsi" w:eastAsia="Times New Roman" w:hAnsiTheme="minorHAnsi" w:cs="Times New Roman"/>
          <w:color w:val="auto"/>
          <w:sz w:val="22"/>
          <w:szCs w:val="22"/>
          <w:lang w:val="en-US"/>
        </w:rPr>
        <w:t>The Finnish Non-Discrimination Ombudsman acting as a National Rapporteur on Trafficking in Human Beings expresses her gratitude to CEDAW for a</w:t>
      </w:r>
      <w:r w:rsidR="00CC438F" w:rsidRPr="00B2043E">
        <w:rPr>
          <w:rFonts w:asciiTheme="minorHAnsi" w:eastAsia="Times New Roman" w:hAnsiTheme="minorHAnsi" w:cs="Times New Roman"/>
          <w:color w:val="auto"/>
          <w:sz w:val="22"/>
          <w:szCs w:val="22"/>
          <w:lang w:val="en-US"/>
        </w:rPr>
        <w:t>llowing the Ombudsman to give her</w:t>
      </w:r>
      <w:r w:rsidRPr="00B2043E">
        <w:rPr>
          <w:rFonts w:asciiTheme="minorHAnsi" w:eastAsia="Times New Roman" w:hAnsiTheme="minorHAnsi" w:cs="Times New Roman"/>
          <w:color w:val="auto"/>
          <w:sz w:val="22"/>
          <w:szCs w:val="22"/>
          <w:lang w:val="en-US"/>
        </w:rPr>
        <w:t xml:space="preserve"> i</w:t>
      </w:r>
      <w:r w:rsidRPr="00B2043E">
        <w:rPr>
          <w:rFonts w:asciiTheme="minorHAnsi" w:eastAsia="Times New Roman" w:hAnsiTheme="minorHAnsi" w:cs="Times New Roman"/>
          <w:color w:val="auto"/>
          <w:sz w:val="22"/>
          <w:szCs w:val="22"/>
          <w:lang w:val="en-US"/>
        </w:rPr>
        <w:t>n</w:t>
      </w:r>
      <w:r w:rsidRPr="00B2043E">
        <w:rPr>
          <w:rFonts w:asciiTheme="minorHAnsi" w:eastAsia="Times New Roman" w:hAnsiTheme="minorHAnsi" w:cs="Times New Roman"/>
          <w:color w:val="auto"/>
          <w:sz w:val="22"/>
          <w:szCs w:val="22"/>
          <w:lang w:val="en-US"/>
        </w:rPr>
        <w:t xml:space="preserve">dependent statement on the forthcoming </w:t>
      </w:r>
      <w:r w:rsidRPr="00B2043E">
        <w:rPr>
          <w:rFonts w:asciiTheme="minorHAnsi" w:hAnsiTheme="minorHAnsi"/>
          <w:color w:val="auto"/>
          <w:sz w:val="22"/>
          <w:szCs w:val="22"/>
          <w:lang w:val="en-US"/>
        </w:rPr>
        <w:t>CEDAW General Recommendation on Trafficking in Women and Girls in the Context of Global Migration</w:t>
      </w:r>
      <w:r w:rsidRPr="00B2043E">
        <w:rPr>
          <w:rFonts w:asciiTheme="minorHAnsi" w:eastAsia="Times New Roman" w:hAnsiTheme="minorHAnsi" w:cs="Times New Roman"/>
          <w:color w:val="auto"/>
          <w:sz w:val="22"/>
          <w:szCs w:val="22"/>
          <w:lang w:val="en-US"/>
        </w:rPr>
        <w:t xml:space="preserve">. </w:t>
      </w:r>
    </w:p>
    <w:p w:rsidR="00181FD0" w:rsidRPr="00B2043E" w:rsidRDefault="00181FD0" w:rsidP="00181FD0">
      <w:pPr>
        <w:pStyle w:val="Heading1"/>
        <w:ind w:left="1304"/>
        <w:jc w:val="both"/>
        <w:rPr>
          <w:rFonts w:asciiTheme="minorHAnsi" w:eastAsia="Times New Roman" w:hAnsiTheme="minorHAnsi" w:cs="Times New Roman"/>
          <w:bCs/>
          <w:color w:val="auto"/>
          <w:kern w:val="36"/>
          <w:sz w:val="22"/>
          <w:szCs w:val="22"/>
          <w:lang w:val="en-US" w:eastAsia="fi-FI"/>
        </w:rPr>
      </w:pPr>
      <w:r w:rsidRPr="00B2043E">
        <w:rPr>
          <w:rFonts w:asciiTheme="minorHAnsi" w:eastAsia="Times New Roman" w:hAnsiTheme="minorHAnsi" w:cs="Times New Roman"/>
          <w:color w:val="auto"/>
          <w:sz w:val="22"/>
          <w:szCs w:val="22"/>
          <w:lang w:val="en-US"/>
        </w:rPr>
        <w:t xml:space="preserve">Under the Act on the Non-Discrimination Ombudsman, the Ombudsman serves as a National Rapporteur on Trafficking in Human Beings in Finland. </w:t>
      </w:r>
      <w:r w:rsidRPr="00B2043E">
        <w:rPr>
          <w:rStyle w:val="Strong"/>
          <w:rFonts w:asciiTheme="minorHAnsi" w:hAnsiTheme="minorHAnsi"/>
          <w:b w:val="0"/>
          <w:color w:val="auto"/>
          <w:sz w:val="22"/>
          <w:szCs w:val="22"/>
          <w:lang w:val="en"/>
        </w:rPr>
        <w:t>Un</w:t>
      </w:r>
      <w:bookmarkStart w:id="0" w:name="_GoBack"/>
      <w:bookmarkEnd w:id="0"/>
      <w:r w:rsidRPr="00B2043E">
        <w:rPr>
          <w:rStyle w:val="Strong"/>
          <w:rFonts w:asciiTheme="minorHAnsi" w:hAnsiTheme="minorHAnsi"/>
          <w:b w:val="0"/>
          <w:color w:val="auto"/>
          <w:sz w:val="22"/>
          <w:szCs w:val="22"/>
          <w:lang w:val="en"/>
        </w:rPr>
        <w:t xml:space="preserve">der the law, the Non-Discrimination Ombudsman is an independent and autonomous public authority. </w:t>
      </w:r>
      <w:r w:rsidRPr="00B2043E">
        <w:rPr>
          <w:rFonts w:asciiTheme="minorHAnsi" w:eastAsia="Times New Roman" w:hAnsiTheme="minorHAnsi" w:cs="Times New Roman"/>
          <w:color w:val="auto"/>
          <w:sz w:val="22"/>
          <w:szCs w:val="22"/>
          <w:lang w:val="en-US" w:eastAsia="fi-FI"/>
        </w:rPr>
        <w:t>As a</w:t>
      </w:r>
      <w:r w:rsidRPr="00B2043E">
        <w:rPr>
          <w:rFonts w:asciiTheme="minorHAnsi" w:eastAsia="Times New Roman" w:hAnsiTheme="minorHAnsi" w:cs="Times New Roman"/>
          <w:color w:val="auto"/>
          <w:sz w:val="22"/>
          <w:szCs w:val="22"/>
          <w:lang w:val="en" w:eastAsia="fi-FI"/>
        </w:rPr>
        <w:t xml:space="preserve"> National Rapporteur, the Non-Discrimination Ombudsman follows action against human trafficking in Finland, human trafficking at large, compliance with international obligations and the effectiveness of national legislation. The Ombudsman issues suggestions, recommendations, statements and advice and follows the implementation of the rights of trafficking victims. </w:t>
      </w:r>
      <w:r w:rsidRPr="00B2043E">
        <w:rPr>
          <w:rStyle w:val="Strong"/>
          <w:rFonts w:asciiTheme="minorHAnsi" w:hAnsiTheme="minorHAnsi"/>
          <w:b w:val="0"/>
          <w:color w:val="auto"/>
          <w:sz w:val="22"/>
          <w:szCs w:val="22"/>
          <w:lang w:val="en"/>
        </w:rPr>
        <w:t xml:space="preserve">The Ombudsman has served as a National Rapporteur since 2009. </w:t>
      </w:r>
    </w:p>
    <w:p w:rsidR="009607F8" w:rsidRPr="00B2043E" w:rsidRDefault="00013DFF" w:rsidP="00D25CF6">
      <w:pPr>
        <w:pStyle w:val="Heading1"/>
        <w:ind w:left="1304"/>
        <w:jc w:val="both"/>
        <w:rPr>
          <w:rFonts w:asciiTheme="minorHAnsi" w:eastAsia="Times New Roman" w:hAnsiTheme="minorHAnsi" w:cs="Times New Roman"/>
          <w:color w:val="auto"/>
          <w:sz w:val="22"/>
          <w:szCs w:val="22"/>
          <w:lang w:val="en-US"/>
        </w:rPr>
      </w:pPr>
      <w:r w:rsidRPr="00B2043E">
        <w:rPr>
          <w:rFonts w:asciiTheme="minorHAnsi" w:hAnsiTheme="minorHAnsi"/>
          <w:color w:val="auto"/>
          <w:sz w:val="22"/>
          <w:szCs w:val="22"/>
          <w:lang w:val="en-US"/>
        </w:rPr>
        <w:t>The Ombudsman would like to comment on the definition on human trafficking and its conne</w:t>
      </w:r>
      <w:r w:rsidRPr="00B2043E">
        <w:rPr>
          <w:rFonts w:asciiTheme="minorHAnsi" w:hAnsiTheme="minorHAnsi"/>
          <w:color w:val="auto"/>
          <w:sz w:val="22"/>
          <w:szCs w:val="22"/>
          <w:lang w:val="en-US"/>
        </w:rPr>
        <w:t>c</w:t>
      </w:r>
      <w:r w:rsidRPr="00B2043E">
        <w:rPr>
          <w:rFonts w:asciiTheme="minorHAnsi" w:hAnsiTheme="minorHAnsi"/>
          <w:color w:val="auto"/>
          <w:sz w:val="22"/>
          <w:szCs w:val="22"/>
          <w:lang w:val="en-US"/>
        </w:rPr>
        <w:t>tion and relevance to the protection of victims’ rights.</w:t>
      </w:r>
      <w:r w:rsidR="004E1D92" w:rsidRPr="00B2043E">
        <w:rPr>
          <w:rFonts w:asciiTheme="minorHAnsi" w:hAnsiTheme="minorHAnsi"/>
          <w:color w:val="auto"/>
          <w:sz w:val="22"/>
          <w:szCs w:val="22"/>
          <w:lang w:val="en-US"/>
        </w:rPr>
        <w:t xml:space="preserve"> Under international law, trafficking vi</w:t>
      </w:r>
      <w:r w:rsidR="004E1D92" w:rsidRPr="00B2043E">
        <w:rPr>
          <w:rFonts w:asciiTheme="minorHAnsi" w:hAnsiTheme="minorHAnsi"/>
          <w:color w:val="auto"/>
          <w:sz w:val="22"/>
          <w:szCs w:val="22"/>
          <w:lang w:val="en-US"/>
        </w:rPr>
        <w:t>c</w:t>
      </w:r>
      <w:r w:rsidR="004E1D92" w:rsidRPr="00B2043E">
        <w:rPr>
          <w:rFonts w:asciiTheme="minorHAnsi" w:hAnsiTheme="minorHAnsi"/>
          <w:color w:val="auto"/>
          <w:sz w:val="22"/>
          <w:szCs w:val="22"/>
          <w:lang w:val="en-US"/>
        </w:rPr>
        <w:t>tims have a special status and a right to special assistance and protection measures provided by the State</w:t>
      </w:r>
      <w:r w:rsidR="00CC438F" w:rsidRPr="00B2043E">
        <w:rPr>
          <w:rFonts w:asciiTheme="minorHAnsi" w:hAnsiTheme="minorHAnsi"/>
          <w:color w:val="auto"/>
          <w:sz w:val="22"/>
          <w:szCs w:val="22"/>
          <w:lang w:val="en-US"/>
        </w:rPr>
        <w:t xml:space="preserve">, but the implementation </w:t>
      </w:r>
      <w:r w:rsidR="00181FD0" w:rsidRPr="00B2043E">
        <w:rPr>
          <w:rFonts w:asciiTheme="minorHAnsi" w:hAnsiTheme="minorHAnsi"/>
          <w:color w:val="auto"/>
          <w:sz w:val="22"/>
          <w:szCs w:val="22"/>
          <w:lang w:val="en-US"/>
        </w:rPr>
        <w:t>of these rights is</w:t>
      </w:r>
      <w:r w:rsidR="00CC438F" w:rsidRPr="00B2043E">
        <w:rPr>
          <w:rFonts w:asciiTheme="minorHAnsi" w:hAnsiTheme="minorHAnsi"/>
          <w:color w:val="auto"/>
          <w:sz w:val="22"/>
          <w:szCs w:val="22"/>
          <w:lang w:val="en-US"/>
        </w:rPr>
        <w:t xml:space="preserve"> largely dependent on the application and the interpretation of the definition of human trafficking</w:t>
      </w:r>
      <w:r w:rsidR="00181FD0" w:rsidRPr="00B2043E">
        <w:rPr>
          <w:rFonts w:asciiTheme="minorHAnsi" w:hAnsiTheme="minorHAnsi"/>
          <w:color w:val="auto"/>
          <w:sz w:val="22"/>
          <w:szCs w:val="22"/>
          <w:lang w:val="en-US"/>
        </w:rPr>
        <w:t>, which in many countries has been prescribed by the criminal code</w:t>
      </w:r>
      <w:r w:rsidR="004E1D92" w:rsidRPr="00B2043E">
        <w:rPr>
          <w:rFonts w:asciiTheme="minorHAnsi" w:hAnsiTheme="minorHAnsi"/>
          <w:color w:val="auto"/>
          <w:sz w:val="22"/>
          <w:szCs w:val="22"/>
          <w:lang w:val="en-US"/>
        </w:rPr>
        <w:t xml:space="preserve">. </w:t>
      </w:r>
    </w:p>
    <w:p w:rsidR="00905827" w:rsidRPr="00B2043E" w:rsidRDefault="00DC3AA0" w:rsidP="00D25CF6">
      <w:pPr>
        <w:spacing w:before="100" w:beforeAutospacing="1" w:after="100" w:afterAutospacing="1"/>
        <w:ind w:left="1304"/>
        <w:jc w:val="both"/>
        <w:rPr>
          <w:rFonts w:asciiTheme="minorHAnsi" w:hAnsiTheme="minorHAnsi"/>
          <w:lang w:val="en-US"/>
        </w:rPr>
      </w:pPr>
      <w:r w:rsidRPr="00B2043E">
        <w:rPr>
          <w:rFonts w:asciiTheme="minorHAnsi" w:hAnsiTheme="minorHAnsi"/>
          <w:lang w:val="en-US"/>
        </w:rPr>
        <w:t>The UN Trafficking Protocol contains the first international consensus definition of trafficking in persons according to which states parties are required to criminalize and punish this activ</w:t>
      </w:r>
      <w:r w:rsidRPr="00B2043E">
        <w:rPr>
          <w:rFonts w:asciiTheme="minorHAnsi" w:hAnsiTheme="minorHAnsi"/>
          <w:lang w:val="en-US"/>
        </w:rPr>
        <w:t>i</w:t>
      </w:r>
      <w:r w:rsidRPr="00B2043E">
        <w:rPr>
          <w:rFonts w:asciiTheme="minorHAnsi" w:hAnsiTheme="minorHAnsi"/>
          <w:lang w:val="en-US"/>
        </w:rPr>
        <w:t>ty. The UN definition has provided a basis for the criminalization of trafficking in many cou</w:t>
      </w:r>
      <w:r w:rsidRPr="00B2043E">
        <w:rPr>
          <w:rFonts w:asciiTheme="minorHAnsi" w:hAnsiTheme="minorHAnsi"/>
          <w:lang w:val="en-US"/>
        </w:rPr>
        <w:t>n</w:t>
      </w:r>
      <w:r w:rsidRPr="00B2043E">
        <w:rPr>
          <w:rFonts w:asciiTheme="minorHAnsi" w:hAnsiTheme="minorHAnsi"/>
          <w:lang w:val="en-US"/>
        </w:rPr>
        <w:t>tries, and</w:t>
      </w:r>
      <w:r w:rsidR="00013DFF" w:rsidRPr="00B2043E">
        <w:rPr>
          <w:rFonts w:asciiTheme="minorHAnsi" w:hAnsiTheme="minorHAnsi"/>
          <w:lang w:val="en-US"/>
        </w:rPr>
        <w:t xml:space="preserve"> more or less same definition has been accepted, for example, by the European Union and the Council of Europe. </w:t>
      </w:r>
    </w:p>
    <w:p w:rsidR="00905827" w:rsidRPr="00B2043E" w:rsidRDefault="00905827" w:rsidP="00D25CF6">
      <w:pPr>
        <w:spacing w:before="100" w:beforeAutospacing="1" w:after="100" w:afterAutospacing="1"/>
        <w:ind w:left="1304"/>
        <w:jc w:val="both"/>
        <w:rPr>
          <w:rFonts w:asciiTheme="minorHAnsi" w:eastAsia="Batang" w:hAnsiTheme="minorHAnsi"/>
          <w:lang w:val="en-US"/>
        </w:rPr>
      </w:pPr>
      <w:r w:rsidRPr="00B2043E">
        <w:rPr>
          <w:rFonts w:asciiTheme="minorHAnsi" w:eastAsia="Batang" w:hAnsiTheme="minorHAnsi"/>
          <w:lang w:val="en-US"/>
        </w:rPr>
        <w:t>The definition of trafficking in human beings consists of three elements, which all have to b</w:t>
      </w:r>
      <w:r w:rsidRPr="00B2043E">
        <w:rPr>
          <w:rFonts w:asciiTheme="minorHAnsi" w:eastAsia="Batang" w:hAnsiTheme="minorHAnsi"/>
          <w:lang w:val="en-US"/>
        </w:rPr>
        <w:t>e</w:t>
      </w:r>
      <w:r w:rsidRPr="00B2043E">
        <w:rPr>
          <w:rFonts w:asciiTheme="minorHAnsi" w:eastAsia="Batang" w:hAnsiTheme="minorHAnsi"/>
          <w:lang w:val="en-US"/>
        </w:rPr>
        <w:t xml:space="preserve">come fulfilled: criminal acts, the means used to commit those acts, and purposes of various forms of exploitation. Thus, any act that combines any of the listed action and means and is </w:t>
      </w:r>
      <w:r w:rsidRPr="00B2043E">
        <w:rPr>
          <w:rFonts w:asciiTheme="minorHAnsi" w:eastAsia="Batang" w:hAnsiTheme="minorHAnsi"/>
          <w:lang w:val="en-US"/>
        </w:rPr>
        <w:lastRenderedPageBreak/>
        <w:t xml:space="preserve">carried out for any of the listed purposes must be criminalized as trafficking in human beings. According to the Article 3 of the Protocol, “’trafficking in persons’ </w:t>
      </w:r>
    </w:p>
    <w:p w:rsidR="00905827" w:rsidRPr="00B2043E" w:rsidRDefault="00905827" w:rsidP="00D25CF6">
      <w:pPr>
        <w:spacing w:before="100" w:beforeAutospacing="1" w:after="100" w:afterAutospacing="1"/>
        <w:ind w:left="2608"/>
        <w:jc w:val="both"/>
        <w:rPr>
          <w:rFonts w:asciiTheme="minorHAnsi" w:eastAsia="Batang" w:hAnsiTheme="minorHAnsi"/>
          <w:sz w:val="20"/>
          <w:szCs w:val="20"/>
          <w:lang w:val="en-US"/>
        </w:rPr>
      </w:pPr>
      <w:r w:rsidRPr="00B2043E">
        <w:rPr>
          <w:rFonts w:asciiTheme="minorHAnsi" w:eastAsia="Batang" w:hAnsiTheme="minorHAnsi"/>
          <w:sz w:val="20"/>
          <w:szCs w:val="20"/>
          <w:lang w:val="en-US"/>
        </w:rPr>
        <w:t xml:space="preserve">shall mean the recruitment, transportation, transfer, </w:t>
      </w:r>
      <w:proofErr w:type="spellStart"/>
      <w:r w:rsidRPr="00B2043E">
        <w:rPr>
          <w:rFonts w:asciiTheme="minorHAnsi" w:eastAsia="Batang" w:hAnsiTheme="minorHAnsi"/>
          <w:sz w:val="20"/>
          <w:szCs w:val="20"/>
          <w:lang w:val="en-US"/>
        </w:rPr>
        <w:t>harbouring</w:t>
      </w:r>
      <w:proofErr w:type="spellEnd"/>
      <w:r w:rsidRPr="00B2043E">
        <w:rPr>
          <w:rFonts w:asciiTheme="minorHAnsi" w:eastAsia="Batang" w:hAnsiTheme="minorHAnsi"/>
          <w:sz w:val="20"/>
          <w:szCs w:val="20"/>
          <w:lang w:val="en-US"/>
        </w:rPr>
        <w:t xml:space="preserve"> or receipt of persons, by means of the threat or use of force or other forms of coercion, of abduction, of fraud, of deception, of the abuse of power or of a position of vulnerability or of the giving or r</w:t>
      </w:r>
      <w:r w:rsidRPr="00B2043E">
        <w:rPr>
          <w:rFonts w:asciiTheme="minorHAnsi" w:eastAsia="Batang" w:hAnsiTheme="minorHAnsi"/>
          <w:sz w:val="20"/>
          <w:szCs w:val="20"/>
          <w:lang w:val="en-US"/>
        </w:rPr>
        <w:t>e</w:t>
      </w:r>
      <w:r w:rsidRPr="00B2043E">
        <w:rPr>
          <w:rFonts w:asciiTheme="minorHAnsi" w:eastAsia="Batang" w:hAnsiTheme="minorHAnsi"/>
          <w:sz w:val="20"/>
          <w:szCs w:val="20"/>
          <w:lang w:val="en-US"/>
        </w:rPr>
        <w:t xml:space="preserve">ceiving of payments or benefits to achieve the consent of a person having control over another person, for the purpose of exploitation. Exploitation shall include, at a minimum, the exploitation of the prostitution of others or other forms of sexual exploitation, forced </w:t>
      </w:r>
      <w:proofErr w:type="spellStart"/>
      <w:r w:rsidRPr="00B2043E">
        <w:rPr>
          <w:rFonts w:asciiTheme="minorHAnsi" w:eastAsia="Batang" w:hAnsiTheme="minorHAnsi"/>
          <w:sz w:val="20"/>
          <w:szCs w:val="20"/>
          <w:lang w:val="en-US"/>
        </w:rPr>
        <w:t>labour</w:t>
      </w:r>
      <w:proofErr w:type="spellEnd"/>
      <w:r w:rsidRPr="00B2043E">
        <w:rPr>
          <w:rFonts w:asciiTheme="minorHAnsi" w:eastAsia="Batang" w:hAnsiTheme="minorHAnsi"/>
          <w:sz w:val="20"/>
          <w:szCs w:val="20"/>
          <w:lang w:val="en-US"/>
        </w:rPr>
        <w:t xml:space="preserve"> or services, slavery or practices similar to slavery, servitude or the removal of o</w:t>
      </w:r>
      <w:r w:rsidRPr="00B2043E">
        <w:rPr>
          <w:rFonts w:asciiTheme="minorHAnsi" w:eastAsia="Batang" w:hAnsiTheme="minorHAnsi"/>
          <w:sz w:val="20"/>
          <w:szCs w:val="20"/>
          <w:lang w:val="en-US"/>
        </w:rPr>
        <w:t>r</w:t>
      </w:r>
      <w:r w:rsidRPr="00B2043E">
        <w:rPr>
          <w:rFonts w:asciiTheme="minorHAnsi" w:eastAsia="Batang" w:hAnsiTheme="minorHAnsi"/>
          <w:sz w:val="20"/>
          <w:szCs w:val="20"/>
          <w:lang w:val="en-US"/>
        </w:rPr>
        <w:t>gans."</w:t>
      </w:r>
    </w:p>
    <w:p w:rsidR="00B2043E" w:rsidRPr="00B2043E" w:rsidRDefault="00905827" w:rsidP="00D25CF6">
      <w:pPr>
        <w:ind w:left="1304" w:right="-32"/>
        <w:jc w:val="both"/>
        <w:rPr>
          <w:rFonts w:asciiTheme="minorHAnsi" w:hAnsiTheme="minorHAnsi"/>
          <w:lang w:val="en-US"/>
        </w:rPr>
      </w:pPr>
      <w:r w:rsidRPr="00B2043E">
        <w:rPr>
          <w:rFonts w:asciiTheme="minorHAnsi" w:eastAsia="Batang" w:hAnsiTheme="minorHAnsi"/>
          <w:lang w:val="en-US"/>
        </w:rPr>
        <w:t xml:space="preserve">The definition of human trafficking represents a compromise between different views on </w:t>
      </w:r>
      <w:r w:rsidR="00181FD0" w:rsidRPr="00B2043E">
        <w:rPr>
          <w:rFonts w:asciiTheme="minorHAnsi" w:eastAsia="Batang" w:hAnsiTheme="minorHAnsi"/>
          <w:lang w:val="en-US"/>
        </w:rPr>
        <w:t>(m</w:t>
      </w:r>
      <w:r w:rsidR="00181FD0" w:rsidRPr="00B2043E">
        <w:rPr>
          <w:rFonts w:asciiTheme="minorHAnsi" w:eastAsia="Batang" w:hAnsiTheme="minorHAnsi"/>
          <w:lang w:val="en-US"/>
        </w:rPr>
        <w:t>i</w:t>
      </w:r>
      <w:r w:rsidR="00181FD0" w:rsidRPr="00B2043E">
        <w:rPr>
          <w:rFonts w:asciiTheme="minorHAnsi" w:eastAsia="Batang" w:hAnsiTheme="minorHAnsi"/>
          <w:lang w:val="en-US"/>
        </w:rPr>
        <w:t xml:space="preserve">gration to) </w:t>
      </w:r>
      <w:r w:rsidRPr="00B2043E">
        <w:rPr>
          <w:rFonts w:asciiTheme="minorHAnsi" w:eastAsia="Batang" w:hAnsiTheme="minorHAnsi"/>
          <w:lang w:val="en-US"/>
        </w:rPr>
        <w:t xml:space="preserve">prostitution. With regard to the adult trafficking victims, </w:t>
      </w:r>
      <w:r w:rsidRPr="00B2043E">
        <w:rPr>
          <w:rFonts w:asciiTheme="minorHAnsi" w:hAnsiTheme="minorHAnsi"/>
          <w:lang w:val="en-US"/>
        </w:rPr>
        <w:t>definition of trafficking a</w:t>
      </w:r>
      <w:r w:rsidRPr="00B2043E">
        <w:rPr>
          <w:rFonts w:asciiTheme="minorHAnsi" w:hAnsiTheme="minorHAnsi"/>
          <w:lang w:val="en-US"/>
        </w:rPr>
        <w:t>c</w:t>
      </w:r>
      <w:r w:rsidRPr="00B2043E">
        <w:rPr>
          <w:rFonts w:asciiTheme="minorHAnsi" w:hAnsiTheme="minorHAnsi"/>
          <w:lang w:val="en-US"/>
        </w:rPr>
        <w:t xml:space="preserve">cepts the view that the consent of the person to exploitation is irrelevant only when any of the means set forth in the definition have been used. The UN Trafficking Protocol attempts to draw the line between trafficking and </w:t>
      </w:r>
      <w:r w:rsidR="00181FD0" w:rsidRPr="00B2043E">
        <w:rPr>
          <w:rFonts w:asciiTheme="minorHAnsi" w:hAnsiTheme="minorHAnsi"/>
          <w:lang w:val="en-US"/>
        </w:rPr>
        <w:t>(</w:t>
      </w:r>
      <w:r w:rsidR="004E1D92" w:rsidRPr="00B2043E">
        <w:rPr>
          <w:rFonts w:asciiTheme="minorHAnsi" w:hAnsiTheme="minorHAnsi"/>
          <w:lang w:val="en-US"/>
        </w:rPr>
        <w:t>migration to</w:t>
      </w:r>
      <w:r w:rsidR="00181FD0" w:rsidRPr="00B2043E">
        <w:rPr>
          <w:rFonts w:asciiTheme="minorHAnsi" w:hAnsiTheme="minorHAnsi"/>
          <w:lang w:val="en-US"/>
        </w:rPr>
        <w:t>)</w:t>
      </w:r>
      <w:r w:rsidR="004E1D92" w:rsidRPr="00B2043E">
        <w:rPr>
          <w:rFonts w:asciiTheme="minorHAnsi" w:hAnsiTheme="minorHAnsi"/>
          <w:lang w:val="en-US"/>
        </w:rPr>
        <w:t xml:space="preserve"> </w:t>
      </w:r>
      <w:r w:rsidRPr="00B2043E">
        <w:rPr>
          <w:rFonts w:asciiTheme="minorHAnsi" w:hAnsiTheme="minorHAnsi"/>
          <w:lang w:val="en-US"/>
        </w:rPr>
        <w:t>prostitution</w:t>
      </w:r>
      <w:r w:rsidR="00181FD0" w:rsidRPr="00B2043E">
        <w:rPr>
          <w:rFonts w:asciiTheme="minorHAnsi" w:hAnsiTheme="minorHAnsi"/>
          <w:lang w:val="en-US"/>
        </w:rPr>
        <w:t>,</w:t>
      </w:r>
      <w:r w:rsidRPr="00B2043E">
        <w:rPr>
          <w:rFonts w:asciiTheme="minorHAnsi" w:hAnsiTheme="minorHAnsi"/>
          <w:lang w:val="en-US"/>
        </w:rPr>
        <w:t xml:space="preserve"> but it</w:t>
      </w:r>
      <w:r w:rsidR="00181FD0" w:rsidRPr="00B2043E">
        <w:rPr>
          <w:rFonts w:asciiTheme="minorHAnsi" w:hAnsiTheme="minorHAnsi"/>
          <w:lang w:val="en-US"/>
        </w:rPr>
        <w:t xml:space="preserve"> is important to note that it</w:t>
      </w:r>
      <w:r w:rsidRPr="00B2043E">
        <w:rPr>
          <w:rFonts w:asciiTheme="minorHAnsi" w:hAnsiTheme="minorHAnsi"/>
          <w:lang w:val="en-US"/>
        </w:rPr>
        <w:t xml:space="preserve"> expands the scope of criminalized activities by broadening the list of coercive means that weaken the weight of given consent. </w:t>
      </w:r>
    </w:p>
    <w:p w:rsidR="00905827" w:rsidRPr="00B2043E" w:rsidRDefault="00905827" w:rsidP="00D25CF6">
      <w:pPr>
        <w:ind w:left="1304" w:right="-32"/>
        <w:jc w:val="both"/>
        <w:rPr>
          <w:rFonts w:asciiTheme="minorHAnsi" w:hAnsiTheme="minorHAnsi"/>
          <w:lang w:val="en-US"/>
        </w:rPr>
      </w:pPr>
      <w:r w:rsidRPr="00B2043E">
        <w:rPr>
          <w:rFonts w:asciiTheme="minorHAnsi" w:hAnsiTheme="minorHAnsi"/>
          <w:lang w:val="en-US"/>
        </w:rPr>
        <w:t>The Proto</w:t>
      </w:r>
      <w:r w:rsidR="00181FD0" w:rsidRPr="00B2043E">
        <w:rPr>
          <w:rFonts w:asciiTheme="minorHAnsi" w:hAnsiTheme="minorHAnsi"/>
          <w:lang w:val="en-US"/>
        </w:rPr>
        <w:t xml:space="preserve">col, </w:t>
      </w:r>
      <w:r w:rsidRPr="00B2043E">
        <w:rPr>
          <w:rFonts w:asciiTheme="minorHAnsi" w:hAnsiTheme="minorHAnsi"/>
          <w:lang w:val="en-US"/>
        </w:rPr>
        <w:t>thus</w:t>
      </w:r>
      <w:r w:rsidR="00181FD0" w:rsidRPr="00B2043E">
        <w:rPr>
          <w:rFonts w:asciiTheme="minorHAnsi" w:hAnsiTheme="minorHAnsi"/>
          <w:lang w:val="en-US"/>
        </w:rPr>
        <w:t>,</w:t>
      </w:r>
      <w:r w:rsidRPr="00B2043E">
        <w:rPr>
          <w:rFonts w:asciiTheme="minorHAnsi" w:hAnsiTheme="minorHAnsi"/>
          <w:lang w:val="en-US"/>
        </w:rPr>
        <w:t xml:space="preserve"> recognizes that human trafficking may occur without use of any physical force</w:t>
      </w:r>
      <w:r w:rsidR="00181FD0" w:rsidRPr="00B2043E">
        <w:rPr>
          <w:rFonts w:asciiTheme="minorHAnsi" w:hAnsiTheme="minorHAnsi"/>
          <w:lang w:val="en-US"/>
        </w:rPr>
        <w:t>, active physical resistance, kidnapping</w:t>
      </w:r>
      <w:r w:rsidRPr="00B2043E">
        <w:rPr>
          <w:rFonts w:asciiTheme="minorHAnsi" w:hAnsiTheme="minorHAnsi"/>
          <w:lang w:val="en-US"/>
        </w:rPr>
        <w:t xml:space="preserve"> or deception, for exam</w:t>
      </w:r>
      <w:r w:rsidR="00181FD0" w:rsidRPr="00B2043E">
        <w:rPr>
          <w:rFonts w:asciiTheme="minorHAnsi" w:hAnsiTheme="minorHAnsi"/>
          <w:lang w:val="en-US"/>
        </w:rPr>
        <w:t>ple. By including the</w:t>
      </w:r>
      <w:r w:rsidR="00C0754E" w:rsidRPr="00B2043E">
        <w:rPr>
          <w:rFonts w:asciiTheme="minorHAnsi" w:hAnsiTheme="minorHAnsi"/>
          <w:lang w:val="en-US"/>
        </w:rPr>
        <w:t xml:space="preserve"> more subtle means</w:t>
      </w:r>
      <w:r w:rsidR="00181FD0" w:rsidRPr="00B2043E">
        <w:rPr>
          <w:rFonts w:asciiTheme="minorHAnsi" w:hAnsiTheme="minorHAnsi"/>
          <w:lang w:val="en-US"/>
        </w:rPr>
        <w:t xml:space="preserve"> to the definition of human trafficking, such as the abuse of victim’s vulnerable p</w:t>
      </w:r>
      <w:r w:rsidR="00181FD0" w:rsidRPr="00B2043E">
        <w:rPr>
          <w:rFonts w:asciiTheme="minorHAnsi" w:hAnsiTheme="minorHAnsi"/>
          <w:lang w:val="en-US"/>
        </w:rPr>
        <w:t>o</w:t>
      </w:r>
      <w:r w:rsidR="00181FD0" w:rsidRPr="00B2043E">
        <w:rPr>
          <w:rFonts w:asciiTheme="minorHAnsi" w:hAnsiTheme="minorHAnsi"/>
          <w:lang w:val="en-US"/>
        </w:rPr>
        <w:t xml:space="preserve">sition, </w:t>
      </w:r>
      <w:r w:rsidR="00C0754E" w:rsidRPr="00B2043E">
        <w:rPr>
          <w:rFonts w:asciiTheme="minorHAnsi" w:hAnsiTheme="minorHAnsi"/>
          <w:lang w:val="en-US"/>
        </w:rPr>
        <w:t>the scope of protected people</w:t>
      </w:r>
      <w:r w:rsidR="00181FD0" w:rsidRPr="00B2043E">
        <w:rPr>
          <w:rFonts w:asciiTheme="minorHAnsi" w:hAnsiTheme="minorHAnsi"/>
          <w:lang w:val="en-US"/>
        </w:rPr>
        <w:t xml:space="preserve"> becomes broader than often anticipated (see more, e.g., Roth, </w:t>
      </w:r>
      <w:proofErr w:type="spellStart"/>
      <w:r w:rsidR="00181FD0" w:rsidRPr="00B2043E">
        <w:rPr>
          <w:rFonts w:asciiTheme="minorHAnsi" w:hAnsiTheme="minorHAnsi"/>
          <w:lang w:val="en-US"/>
        </w:rPr>
        <w:t>Venla</w:t>
      </w:r>
      <w:proofErr w:type="spellEnd"/>
      <w:r w:rsidR="00181FD0" w:rsidRPr="00B2043E">
        <w:rPr>
          <w:rFonts w:asciiTheme="minorHAnsi" w:hAnsiTheme="minorHAnsi"/>
          <w:lang w:val="en-US"/>
        </w:rPr>
        <w:t>: Defining Human Trafficking, Identifying Its Victims, 2012).</w:t>
      </w:r>
      <w:r w:rsidR="00C0754E" w:rsidRPr="00B2043E">
        <w:rPr>
          <w:rFonts w:asciiTheme="minorHAnsi" w:hAnsiTheme="minorHAnsi"/>
          <w:lang w:val="en-US"/>
        </w:rPr>
        <w:t xml:space="preserve"> </w:t>
      </w:r>
    </w:p>
    <w:p w:rsidR="00150BDC" w:rsidRPr="00B2043E" w:rsidRDefault="00C0754E" w:rsidP="00D25CF6">
      <w:pPr>
        <w:ind w:left="1304" w:right="-32"/>
        <w:jc w:val="both"/>
        <w:rPr>
          <w:rFonts w:asciiTheme="minorHAnsi" w:hAnsiTheme="minorHAnsi"/>
          <w:lang w:val="en-US"/>
        </w:rPr>
      </w:pPr>
      <w:r w:rsidRPr="00B2043E">
        <w:rPr>
          <w:rFonts w:asciiTheme="minorHAnsi" w:hAnsiTheme="minorHAnsi"/>
          <w:lang w:val="en-US"/>
        </w:rPr>
        <w:t>The Ombudsman acting as a National Rapporteur</w:t>
      </w:r>
      <w:r w:rsidR="00181FD0" w:rsidRPr="00B2043E">
        <w:rPr>
          <w:rFonts w:asciiTheme="minorHAnsi" w:hAnsiTheme="minorHAnsi"/>
          <w:lang w:val="en-US"/>
        </w:rPr>
        <w:t xml:space="preserve"> in Finland</w:t>
      </w:r>
      <w:r w:rsidRPr="00B2043E">
        <w:rPr>
          <w:rFonts w:asciiTheme="minorHAnsi" w:hAnsiTheme="minorHAnsi"/>
          <w:lang w:val="en-US"/>
        </w:rPr>
        <w:t xml:space="preserve"> has emphasized that </w:t>
      </w:r>
      <w:r w:rsidR="00150BDC" w:rsidRPr="00B2043E">
        <w:rPr>
          <w:rFonts w:asciiTheme="minorHAnsi" w:hAnsiTheme="minorHAnsi"/>
          <w:lang w:val="en-US"/>
        </w:rPr>
        <w:t>in applying the</w:t>
      </w:r>
      <w:r w:rsidR="00181FD0" w:rsidRPr="00B2043E">
        <w:rPr>
          <w:rFonts w:asciiTheme="minorHAnsi" w:hAnsiTheme="minorHAnsi"/>
          <w:lang w:val="en-US"/>
        </w:rPr>
        <w:t xml:space="preserve"> criminal law definition, based on the</w:t>
      </w:r>
      <w:r w:rsidR="00150BDC" w:rsidRPr="00B2043E">
        <w:rPr>
          <w:rFonts w:asciiTheme="minorHAnsi" w:hAnsiTheme="minorHAnsi"/>
          <w:lang w:val="en-US"/>
        </w:rPr>
        <w:t xml:space="preserve"> </w:t>
      </w:r>
      <w:r w:rsidR="00181FD0" w:rsidRPr="00B2043E">
        <w:rPr>
          <w:rFonts w:asciiTheme="minorHAnsi" w:hAnsiTheme="minorHAnsi"/>
          <w:lang w:val="en-US"/>
        </w:rPr>
        <w:t xml:space="preserve">international </w:t>
      </w:r>
      <w:r w:rsidR="00150BDC" w:rsidRPr="00B2043E">
        <w:rPr>
          <w:rFonts w:asciiTheme="minorHAnsi" w:hAnsiTheme="minorHAnsi"/>
          <w:lang w:val="en-US"/>
        </w:rPr>
        <w:t>definition</w:t>
      </w:r>
      <w:r w:rsidR="00181FD0" w:rsidRPr="00B2043E">
        <w:rPr>
          <w:rFonts w:asciiTheme="minorHAnsi" w:hAnsiTheme="minorHAnsi"/>
          <w:lang w:val="en-US"/>
        </w:rPr>
        <w:t>,</w:t>
      </w:r>
      <w:r w:rsidR="00150BDC" w:rsidRPr="00B2043E">
        <w:rPr>
          <w:rFonts w:asciiTheme="minorHAnsi" w:hAnsiTheme="minorHAnsi"/>
          <w:lang w:val="en-US"/>
        </w:rPr>
        <w:t xml:space="preserve"> </w:t>
      </w:r>
      <w:r w:rsidRPr="00B2043E">
        <w:rPr>
          <w:rFonts w:asciiTheme="minorHAnsi" w:hAnsiTheme="minorHAnsi"/>
          <w:lang w:val="en-US"/>
        </w:rPr>
        <w:t xml:space="preserve">the attention should not only </w:t>
      </w:r>
      <w:r w:rsidR="00150BDC" w:rsidRPr="00B2043E">
        <w:rPr>
          <w:rFonts w:asciiTheme="minorHAnsi" w:hAnsiTheme="minorHAnsi"/>
          <w:lang w:val="en-US"/>
        </w:rPr>
        <w:t xml:space="preserve">be </w:t>
      </w:r>
      <w:r w:rsidRPr="00B2043E">
        <w:rPr>
          <w:rFonts w:asciiTheme="minorHAnsi" w:hAnsiTheme="minorHAnsi"/>
          <w:lang w:val="en-US"/>
        </w:rPr>
        <w:t>paid to the forceful recruit</w:t>
      </w:r>
      <w:r w:rsidR="00181FD0" w:rsidRPr="00B2043E">
        <w:rPr>
          <w:rFonts w:asciiTheme="minorHAnsi" w:hAnsiTheme="minorHAnsi"/>
          <w:lang w:val="en-US"/>
        </w:rPr>
        <w:t>ment or</w:t>
      </w:r>
      <w:r w:rsidRPr="00B2043E">
        <w:rPr>
          <w:rFonts w:asciiTheme="minorHAnsi" w:hAnsiTheme="minorHAnsi"/>
          <w:lang w:val="en-US"/>
        </w:rPr>
        <w:t xml:space="preserve"> transportation methods used by perpetrators during the movement phase of the trafficking pr</w:t>
      </w:r>
      <w:r w:rsidR="00150BDC" w:rsidRPr="00B2043E">
        <w:rPr>
          <w:rFonts w:asciiTheme="minorHAnsi" w:hAnsiTheme="minorHAnsi"/>
          <w:lang w:val="en-US"/>
        </w:rPr>
        <w:t>ocess. The legal practitioners should focus, instead, on</w:t>
      </w:r>
      <w:r w:rsidRPr="00B2043E">
        <w:rPr>
          <w:rFonts w:asciiTheme="minorHAnsi" w:hAnsiTheme="minorHAnsi"/>
          <w:lang w:val="en-US"/>
        </w:rPr>
        <w:t xml:space="preserve"> the actual outcomes which may turn out to be exploitative and coercive in the country of destin</w:t>
      </w:r>
      <w:r w:rsidRPr="00B2043E">
        <w:rPr>
          <w:rFonts w:asciiTheme="minorHAnsi" w:hAnsiTheme="minorHAnsi"/>
          <w:lang w:val="en-US"/>
        </w:rPr>
        <w:t>a</w:t>
      </w:r>
      <w:r w:rsidRPr="00B2043E">
        <w:rPr>
          <w:rFonts w:asciiTheme="minorHAnsi" w:hAnsiTheme="minorHAnsi"/>
          <w:lang w:val="en-US"/>
        </w:rPr>
        <w:t xml:space="preserve">tion. </w:t>
      </w:r>
      <w:r w:rsidR="00150BDC" w:rsidRPr="00B2043E">
        <w:rPr>
          <w:rFonts w:asciiTheme="minorHAnsi" w:hAnsiTheme="minorHAnsi"/>
          <w:lang w:val="en-US"/>
        </w:rPr>
        <w:t>The Ombudsman has contested the deep-rooted understanding of the criminal justice sy</w:t>
      </w:r>
      <w:r w:rsidR="00150BDC" w:rsidRPr="00B2043E">
        <w:rPr>
          <w:rFonts w:asciiTheme="minorHAnsi" w:hAnsiTheme="minorHAnsi"/>
          <w:lang w:val="en-US"/>
        </w:rPr>
        <w:t>s</w:t>
      </w:r>
      <w:r w:rsidR="00150BDC" w:rsidRPr="00B2043E">
        <w:rPr>
          <w:rFonts w:asciiTheme="minorHAnsi" w:hAnsiTheme="minorHAnsi"/>
          <w:lang w:val="en-US"/>
        </w:rPr>
        <w:t>tem not to protect those women who have initially consented to come to Finland to sell sex and thereafter ended up in exploitative circumstances. Historically, they have been considered as procured prostitutes, solely objects of a victimless crime</w:t>
      </w:r>
      <w:r w:rsidR="00181FD0" w:rsidRPr="00B2043E">
        <w:rPr>
          <w:rFonts w:asciiTheme="minorHAnsi" w:hAnsiTheme="minorHAnsi"/>
          <w:lang w:val="en-US"/>
        </w:rPr>
        <w:t xml:space="preserve"> without right to compensation and a</w:t>
      </w:r>
      <w:r w:rsidR="00181FD0" w:rsidRPr="00B2043E">
        <w:rPr>
          <w:rFonts w:asciiTheme="minorHAnsi" w:hAnsiTheme="minorHAnsi"/>
          <w:lang w:val="en-US"/>
        </w:rPr>
        <w:t>s</w:t>
      </w:r>
      <w:r w:rsidR="00181FD0" w:rsidRPr="00B2043E">
        <w:rPr>
          <w:rFonts w:asciiTheme="minorHAnsi" w:hAnsiTheme="minorHAnsi"/>
          <w:lang w:val="en-US"/>
        </w:rPr>
        <w:t>sistance (Ombudsman’s report 2010</w:t>
      </w:r>
      <w:r w:rsidR="00B07D64" w:rsidRPr="00B2043E">
        <w:rPr>
          <w:rFonts w:asciiTheme="minorHAnsi" w:hAnsiTheme="minorHAnsi"/>
          <w:lang w:val="en-US"/>
        </w:rPr>
        <w:t>. See also, Ombudsman’s report 2014</w:t>
      </w:r>
      <w:r w:rsidR="00181FD0" w:rsidRPr="00B2043E">
        <w:rPr>
          <w:rFonts w:asciiTheme="minorHAnsi" w:hAnsiTheme="minorHAnsi"/>
          <w:lang w:val="en-US"/>
        </w:rPr>
        <w:t xml:space="preserve">). </w:t>
      </w:r>
    </w:p>
    <w:p w:rsidR="00905827" w:rsidRPr="00B2043E" w:rsidRDefault="00C0754E" w:rsidP="00D25CF6">
      <w:pPr>
        <w:ind w:left="1304" w:right="-32"/>
        <w:jc w:val="both"/>
        <w:rPr>
          <w:rFonts w:asciiTheme="minorHAnsi" w:hAnsiTheme="minorHAnsi"/>
          <w:lang w:val="en-US"/>
        </w:rPr>
      </w:pPr>
      <w:r w:rsidRPr="00B2043E">
        <w:rPr>
          <w:rFonts w:asciiTheme="minorHAnsi" w:hAnsiTheme="minorHAnsi"/>
          <w:lang w:val="en-US"/>
        </w:rPr>
        <w:t>Under the Finnish Penal Code,</w:t>
      </w:r>
      <w:r w:rsidR="00150BDC" w:rsidRPr="00B2043E">
        <w:rPr>
          <w:rFonts w:asciiTheme="minorHAnsi" w:hAnsiTheme="minorHAnsi"/>
          <w:lang w:val="en-US"/>
        </w:rPr>
        <w:t xml:space="preserve"> </w:t>
      </w:r>
      <w:r w:rsidRPr="00B2043E">
        <w:rPr>
          <w:rFonts w:asciiTheme="minorHAnsi" w:hAnsiTheme="minorHAnsi"/>
          <w:lang w:val="en-US"/>
        </w:rPr>
        <w:t>the elements of traffick</w:t>
      </w:r>
      <w:r w:rsidR="00181FD0" w:rsidRPr="00B2043E">
        <w:rPr>
          <w:rFonts w:asciiTheme="minorHAnsi" w:hAnsiTheme="minorHAnsi"/>
          <w:lang w:val="en-US"/>
        </w:rPr>
        <w:t xml:space="preserve">ing can nowadays </w:t>
      </w:r>
      <w:r w:rsidRPr="00B2043E">
        <w:rPr>
          <w:rFonts w:asciiTheme="minorHAnsi" w:hAnsiTheme="minorHAnsi"/>
          <w:lang w:val="en-US"/>
        </w:rPr>
        <w:t xml:space="preserve">be met in a situation where the perpetrator has taken control over the victim, and it has been especially emphasized in the preparatory works that it can occur at any given time of the trafficking process. </w:t>
      </w:r>
      <w:r w:rsidR="007355B9" w:rsidRPr="00B2043E">
        <w:rPr>
          <w:rFonts w:asciiTheme="minorHAnsi" w:hAnsiTheme="minorHAnsi"/>
          <w:lang w:val="en-US"/>
        </w:rPr>
        <w:t>T</w:t>
      </w:r>
      <w:r w:rsidR="00181FD0" w:rsidRPr="00B2043E">
        <w:rPr>
          <w:rFonts w:asciiTheme="minorHAnsi" w:hAnsiTheme="minorHAnsi"/>
          <w:lang w:val="en-US"/>
        </w:rPr>
        <w:t>o meet the recommendation of the Ombudsman, t</w:t>
      </w:r>
      <w:r w:rsidR="007355B9" w:rsidRPr="00B2043E">
        <w:rPr>
          <w:rFonts w:asciiTheme="minorHAnsi" w:hAnsiTheme="minorHAnsi"/>
          <w:lang w:val="en-US"/>
        </w:rPr>
        <w:t xml:space="preserve">he meaning and purpose of the more </w:t>
      </w:r>
      <w:r w:rsidR="00181FD0" w:rsidRPr="00B2043E">
        <w:rPr>
          <w:rFonts w:asciiTheme="minorHAnsi" w:hAnsiTheme="minorHAnsi"/>
          <w:lang w:val="en-US"/>
        </w:rPr>
        <w:t xml:space="preserve">subtle </w:t>
      </w:r>
      <w:r w:rsidR="007355B9" w:rsidRPr="00B2043E">
        <w:rPr>
          <w:rFonts w:asciiTheme="minorHAnsi" w:hAnsiTheme="minorHAnsi"/>
          <w:lang w:val="en-US"/>
        </w:rPr>
        <w:t xml:space="preserve">means of trafficking were elaborated in the preparatory works in a </w:t>
      </w:r>
      <w:r w:rsidR="00181FD0" w:rsidRPr="00B2043E">
        <w:rPr>
          <w:rFonts w:asciiTheme="minorHAnsi" w:hAnsiTheme="minorHAnsi"/>
          <w:lang w:val="en-US"/>
        </w:rPr>
        <w:t xml:space="preserve">more </w:t>
      </w:r>
      <w:r w:rsidR="007355B9" w:rsidRPr="00B2043E">
        <w:rPr>
          <w:rFonts w:asciiTheme="minorHAnsi" w:hAnsiTheme="minorHAnsi"/>
          <w:lang w:val="en-US"/>
        </w:rPr>
        <w:t xml:space="preserve">detailed manner, allowing the practitioners to apply the law in accordance with the international legal definition. </w:t>
      </w:r>
      <w:r w:rsidRPr="00B2043E">
        <w:rPr>
          <w:rFonts w:asciiTheme="minorHAnsi" w:hAnsiTheme="minorHAnsi"/>
          <w:lang w:val="en-US"/>
        </w:rPr>
        <w:t>This means that the requisites of human trafficking can be fulfilled also when the victim has consented to travel to Finland with a knowledge that she is supposed to sell sex after arrival but the circu</w:t>
      </w:r>
      <w:r w:rsidRPr="00B2043E">
        <w:rPr>
          <w:rFonts w:asciiTheme="minorHAnsi" w:hAnsiTheme="minorHAnsi"/>
          <w:lang w:val="en-US"/>
        </w:rPr>
        <w:t>m</w:t>
      </w:r>
      <w:r w:rsidRPr="00B2043E">
        <w:rPr>
          <w:rFonts w:asciiTheme="minorHAnsi" w:hAnsiTheme="minorHAnsi"/>
          <w:lang w:val="en-US"/>
        </w:rPr>
        <w:t>stances turn out to be exploitative and coercive</w:t>
      </w:r>
      <w:r w:rsidR="00B07D64" w:rsidRPr="00B2043E">
        <w:rPr>
          <w:rFonts w:asciiTheme="minorHAnsi" w:hAnsiTheme="minorHAnsi"/>
          <w:lang w:val="en-US"/>
        </w:rPr>
        <w:t xml:space="preserve"> after having entered </w:t>
      </w:r>
      <w:r w:rsidR="00150BDC" w:rsidRPr="00B2043E">
        <w:rPr>
          <w:rFonts w:asciiTheme="minorHAnsi" w:hAnsiTheme="minorHAnsi"/>
          <w:lang w:val="en-US"/>
        </w:rPr>
        <w:t xml:space="preserve">Finland. </w:t>
      </w:r>
      <w:r w:rsidRPr="00B2043E">
        <w:rPr>
          <w:rFonts w:asciiTheme="minorHAnsi" w:hAnsiTheme="minorHAnsi"/>
          <w:lang w:val="en-US"/>
        </w:rPr>
        <w:t xml:space="preserve"> </w:t>
      </w:r>
    </w:p>
    <w:p w:rsidR="00B07D64" w:rsidRPr="00B2043E" w:rsidRDefault="007355B9" w:rsidP="00D25CF6">
      <w:pPr>
        <w:ind w:left="1304" w:right="-32"/>
        <w:jc w:val="both"/>
        <w:rPr>
          <w:rFonts w:asciiTheme="minorHAnsi" w:hAnsiTheme="minorHAnsi"/>
          <w:lang w:val="en-US"/>
        </w:rPr>
      </w:pPr>
      <w:r w:rsidRPr="00B2043E">
        <w:rPr>
          <w:rFonts w:asciiTheme="minorHAnsi" w:hAnsiTheme="minorHAnsi"/>
          <w:lang w:val="en-US"/>
        </w:rPr>
        <w:lastRenderedPageBreak/>
        <w:t xml:space="preserve">Several studies also from other countries demonstrate that many trafficking victims have sold sex in their countries of origin and that they </w:t>
      </w:r>
      <w:r w:rsidR="00B07D64" w:rsidRPr="00B2043E">
        <w:rPr>
          <w:rFonts w:asciiTheme="minorHAnsi" w:hAnsiTheme="minorHAnsi"/>
          <w:lang w:val="en-US"/>
        </w:rPr>
        <w:t xml:space="preserve">have </w:t>
      </w:r>
      <w:r w:rsidRPr="00B2043E">
        <w:rPr>
          <w:rFonts w:asciiTheme="minorHAnsi" w:hAnsiTheme="minorHAnsi"/>
          <w:lang w:val="en-US"/>
        </w:rPr>
        <w:t xml:space="preserve">migrated to another country without physical violence </w:t>
      </w:r>
      <w:r w:rsidR="00B07D64" w:rsidRPr="00B2043E">
        <w:rPr>
          <w:rFonts w:asciiTheme="minorHAnsi" w:hAnsiTheme="minorHAnsi"/>
          <w:lang w:val="en-US"/>
        </w:rPr>
        <w:t>or even deception</w:t>
      </w:r>
      <w:r w:rsidRPr="00B2043E">
        <w:rPr>
          <w:rFonts w:asciiTheme="minorHAnsi" w:hAnsiTheme="minorHAnsi"/>
          <w:lang w:val="en-US"/>
        </w:rPr>
        <w:t xml:space="preserve">. Moreover, these studies argue that much of the abuse exerted on the trafficking victims is psychological rather that physical </w:t>
      </w:r>
      <w:r w:rsidR="00B07D64" w:rsidRPr="00B2043E">
        <w:rPr>
          <w:rFonts w:asciiTheme="minorHAnsi" w:hAnsiTheme="minorHAnsi"/>
          <w:lang w:val="en-US"/>
        </w:rPr>
        <w:t xml:space="preserve">in nature </w:t>
      </w:r>
      <w:r w:rsidRPr="00B2043E">
        <w:rPr>
          <w:rFonts w:asciiTheme="minorHAnsi" w:hAnsiTheme="minorHAnsi"/>
          <w:lang w:val="en-US"/>
        </w:rPr>
        <w:t>after arrival to another country. It is much more common that the perpetrators resort to psychological pressure and control rather than physical violence against the trafficking victims in order to submit them i</w:t>
      </w:r>
      <w:r w:rsidRPr="00B2043E">
        <w:rPr>
          <w:rFonts w:asciiTheme="minorHAnsi" w:hAnsiTheme="minorHAnsi"/>
          <w:lang w:val="en-US"/>
        </w:rPr>
        <w:t>n</w:t>
      </w:r>
      <w:r w:rsidRPr="00B2043E">
        <w:rPr>
          <w:rFonts w:asciiTheme="minorHAnsi" w:hAnsiTheme="minorHAnsi"/>
          <w:lang w:val="en-US"/>
        </w:rPr>
        <w:t xml:space="preserve">to coercive and exploitative conditions or prevent them from escaping the situation. </w:t>
      </w:r>
    </w:p>
    <w:p w:rsidR="007355B9" w:rsidRPr="00B2043E" w:rsidRDefault="007355B9" w:rsidP="00D25CF6">
      <w:pPr>
        <w:ind w:left="1304" w:right="-32"/>
        <w:jc w:val="both"/>
        <w:rPr>
          <w:rFonts w:asciiTheme="minorHAnsi" w:hAnsiTheme="minorHAnsi"/>
          <w:lang w:val="en-US"/>
        </w:rPr>
      </w:pPr>
      <w:r w:rsidRPr="00B2043E">
        <w:rPr>
          <w:rFonts w:asciiTheme="minorHAnsi" w:hAnsiTheme="minorHAnsi"/>
          <w:lang w:val="en-US"/>
        </w:rPr>
        <w:t xml:space="preserve">The </w:t>
      </w:r>
      <w:r w:rsidR="00B07D64" w:rsidRPr="00B2043E">
        <w:rPr>
          <w:rFonts w:asciiTheme="minorHAnsi" w:hAnsiTheme="minorHAnsi"/>
          <w:lang w:val="en-US"/>
        </w:rPr>
        <w:t xml:space="preserve">studies show that the </w:t>
      </w:r>
      <w:r w:rsidRPr="00B2043E">
        <w:rPr>
          <w:rFonts w:asciiTheme="minorHAnsi" w:hAnsiTheme="minorHAnsi"/>
          <w:lang w:val="en-US"/>
        </w:rPr>
        <w:t>perpetrators take advantage of the dependency of the victims caused by debt to the traffickers/smugglers or their vulnerable position arising from an insecure or i</w:t>
      </w:r>
      <w:r w:rsidRPr="00B2043E">
        <w:rPr>
          <w:rFonts w:asciiTheme="minorHAnsi" w:hAnsiTheme="minorHAnsi"/>
          <w:lang w:val="en-US"/>
        </w:rPr>
        <w:t>l</w:t>
      </w:r>
      <w:r w:rsidRPr="00B2043E">
        <w:rPr>
          <w:rFonts w:asciiTheme="minorHAnsi" w:hAnsiTheme="minorHAnsi"/>
          <w:lang w:val="en-US"/>
        </w:rPr>
        <w:t>legal status, fear of deportation, distrust of authorities or other foreig</w:t>
      </w:r>
      <w:r w:rsidR="00B07D64" w:rsidRPr="00B2043E">
        <w:rPr>
          <w:rFonts w:asciiTheme="minorHAnsi" w:hAnsiTheme="minorHAnsi"/>
          <w:lang w:val="en-US"/>
        </w:rPr>
        <w:t>n-specific vulnerabilities. Moreover</w:t>
      </w:r>
      <w:r w:rsidRPr="00B2043E">
        <w:rPr>
          <w:rFonts w:asciiTheme="minorHAnsi" w:hAnsiTheme="minorHAnsi"/>
          <w:lang w:val="en-US"/>
        </w:rPr>
        <w:t xml:space="preserve">, the </w:t>
      </w:r>
      <w:r w:rsidR="00D25CF6" w:rsidRPr="00B2043E">
        <w:rPr>
          <w:rFonts w:asciiTheme="minorHAnsi" w:hAnsiTheme="minorHAnsi"/>
          <w:lang w:val="en-US"/>
        </w:rPr>
        <w:t>perpetrators</w:t>
      </w:r>
      <w:r w:rsidRPr="00B2043E">
        <w:rPr>
          <w:rFonts w:asciiTheme="minorHAnsi" w:hAnsiTheme="minorHAnsi"/>
          <w:lang w:val="en-US"/>
        </w:rPr>
        <w:t xml:space="preserve"> know that many trafficking victims are unable to quit due to their </w:t>
      </w:r>
      <w:r w:rsidR="00D25CF6" w:rsidRPr="00B2043E">
        <w:rPr>
          <w:rFonts w:asciiTheme="minorHAnsi" w:hAnsiTheme="minorHAnsi"/>
          <w:lang w:val="en-US"/>
        </w:rPr>
        <w:t>desperate</w:t>
      </w:r>
      <w:r w:rsidR="00960F90">
        <w:rPr>
          <w:rFonts w:asciiTheme="minorHAnsi" w:hAnsiTheme="minorHAnsi"/>
          <w:lang w:val="en-US"/>
        </w:rPr>
        <w:t xml:space="preserve"> economic situation or the </w:t>
      </w:r>
      <w:r w:rsidR="00D25CF6" w:rsidRPr="00B2043E">
        <w:rPr>
          <w:rFonts w:asciiTheme="minorHAnsi" w:hAnsiTheme="minorHAnsi"/>
          <w:lang w:val="en-US"/>
        </w:rPr>
        <w:t>lack of other possibilities for illiterate and uneducated women to earn a living to themselves and</w:t>
      </w:r>
      <w:r w:rsidR="00B07D64" w:rsidRPr="00B2043E">
        <w:rPr>
          <w:rFonts w:asciiTheme="minorHAnsi" w:hAnsiTheme="minorHAnsi"/>
          <w:lang w:val="en-US"/>
        </w:rPr>
        <w:t xml:space="preserve"> to</w:t>
      </w:r>
      <w:r w:rsidR="00D25CF6" w:rsidRPr="00B2043E">
        <w:rPr>
          <w:rFonts w:asciiTheme="minorHAnsi" w:hAnsiTheme="minorHAnsi"/>
          <w:lang w:val="en-US"/>
        </w:rPr>
        <w:t xml:space="preserve"> their families. Many migrant women have not a</w:t>
      </w:r>
      <w:r w:rsidR="00D25CF6" w:rsidRPr="00B2043E">
        <w:rPr>
          <w:rFonts w:asciiTheme="minorHAnsi" w:hAnsiTheme="minorHAnsi"/>
          <w:lang w:val="en-US"/>
        </w:rPr>
        <w:t>c</w:t>
      </w:r>
      <w:r w:rsidR="00D25CF6" w:rsidRPr="00B2043E">
        <w:rPr>
          <w:rFonts w:asciiTheme="minorHAnsi" w:hAnsiTheme="minorHAnsi"/>
          <w:lang w:val="en-US"/>
        </w:rPr>
        <w:t>tively chose</w:t>
      </w:r>
      <w:r w:rsidR="00B07D64" w:rsidRPr="00B2043E">
        <w:rPr>
          <w:rFonts w:asciiTheme="minorHAnsi" w:hAnsiTheme="minorHAnsi"/>
          <w:lang w:val="en-US"/>
        </w:rPr>
        <w:t>n</w:t>
      </w:r>
      <w:r w:rsidR="00D25CF6" w:rsidRPr="00B2043E">
        <w:rPr>
          <w:rFonts w:asciiTheme="minorHAnsi" w:hAnsiTheme="minorHAnsi"/>
          <w:lang w:val="en-US"/>
        </w:rPr>
        <w:t xml:space="preserve"> prostitution but ended up selling sex as a consequence of being trapped by debt, family obligations, dependence on the perpetrator (who can also be a family member), an ins</w:t>
      </w:r>
      <w:r w:rsidR="00D25CF6" w:rsidRPr="00B2043E">
        <w:rPr>
          <w:rFonts w:asciiTheme="minorHAnsi" w:hAnsiTheme="minorHAnsi"/>
          <w:lang w:val="en-US"/>
        </w:rPr>
        <w:t>e</w:t>
      </w:r>
      <w:r w:rsidR="00D25CF6" w:rsidRPr="00B2043E">
        <w:rPr>
          <w:rFonts w:asciiTheme="minorHAnsi" w:hAnsiTheme="minorHAnsi"/>
          <w:lang w:val="en-US"/>
        </w:rPr>
        <w:t xml:space="preserve">cure or illegal residence status, or a lack of other opportunities. </w:t>
      </w:r>
    </w:p>
    <w:p w:rsidR="00B07D64" w:rsidRPr="00B2043E" w:rsidRDefault="00D25CF6" w:rsidP="00E10318">
      <w:pPr>
        <w:ind w:left="1304" w:right="-32"/>
        <w:jc w:val="both"/>
        <w:rPr>
          <w:rFonts w:asciiTheme="minorHAnsi" w:hAnsiTheme="minorHAnsi"/>
          <w:lang w:val="en-US"/>
        </w:rPr>
      </w:pPr>
      <w:r w:rsidRPr="00B2043E">
        <w:rPr>
          <w:rFonts w:asciiTheme="minorHAnsi" w:hAnsiTheme="minorHAnsi"/>
          <w:lang w:val="en-US"/>
        </w:rPr>
        <w:t>The UN Trafficking Protocol attempts to draw a distinction between trafficking and (migration to) prostitution, but it expand</w:t>
      </w:r>
      <w:r w:rsidR="00B07D64" w:rsidRPr="00B2043E">
        <w:rPr>
          <w:rFonts w:asciiTheme="minorHAnsi" w:hAnsiTheme="minorHAnsi"/>
          <w:lang w:val="en-US"/>
        </w:rPr>
        <w:t>s</w:t>
      </w:r>
      <w:r w:rsidRPr="00B2043E">
        <w:rPr>
          <w:rFonts w:asciiTheme="minorHAnsi" w:hAnsiTheme="minorHAnsi"/>
          <w:lang w:val="en-US"/>
        </w:rPr>
        <w:t xml:space="preserve"> the scope of criminalized activities and protected people by i</w:t>
      </w:r>
      <w:r w:rsidRPr="00B2043E">
        <w:rPr>
          <w:rFonts w:asciiTheme="minorHAnsi" w:hAnsiTheme="minorHAnsi"/>
          <w:lang w:val="en-US"/>
        </w:rPr>
        <w:t>n</w:t>
      </w:r>
      <w:r w:rsidRPr="00B2043E">
        <w:rPr>
          <w:rFonts w:asciiTheme="minorHAnsi" w:hAnsiTheme="minorHAnsi"/>
          <w:lang w:val="en-US"/>
        </w:rPr>
        <w:t>cluding the abuse of victim’s vulnerable position and the abuse of power in the list of prohibi</w:t>
      </w:r>
      <w:r w:rsidRPr="00B2043E">
        <w:rPr>
          <w:rFonts w:asciiTheme="minorHAnsi" w:hAnsiTheme="minorHAnsi"/>
          <w:lang w:val="en-US"/>
        </w:rPr>
        <w:t>t</w:t>
      </w:r>
      <w:r w:rsidRPr="00B2043E">
        <w:rPr>
          <w:rFonts w:asciiTheme="minorHAnsi" w:hAnsiTheme="minorHAnsi"/>
          <w:lang w:val="en-US"/>
        </w:rPr>
        <w:t>ed means. As these subtle means are rather poorly elaborated in the preparatory works</w:t>
      </w:r>
      <w:r w:rsidR="00B07D64" w:rsidRPr="00B2043E">
        <w:rPr>
          <w:rFonts w:asciiTheme="minorHAnsi" w:hAnsiTheme="minorHAnsi"/>
          <w:lang w:val="en-US"/>
        </w:rPr>
        <w:t xml:space="preserve"> of the UN Trafficking Protocol</w:t>
      </w:r>
      <w:r w:rsidRPr="00B2043E">
        <w:rPr>
          <w:rFonts w:asciiTheme="minorHAnsi" w:hAnsiTheme="minorHAnsi"/>
          <w:lang w:val="en-US"/>
        </w:rPr>
        <w:t xml:space="preserve">, it remains to the States Parties to decide who are protected as victims of human trafficking in their jurisdiction. </w:t>
      </w:r>
    </w:p>
    <w:p w:rsidR="00905827" w:rsidRPr="00B2043E" w:rsidRDefault="00D25CF6" w:rsidP="00E10318">
      <w:pPr>
        <w:ind w:left="1304" w:right="-32"/>
        <w:jc w:val="both"/>
        <w:rPr>
          <w:rFonts w:asciiTheme="minorHAnsi" w:hAnsiTheme="minorHAnsi"/>
          <w:lang w:val="en-US"/>
        </w:rPr>
      </w:pPr>
      <w:r w:rsidRPr="00B2043E">
        <w:rPr>
          <w:rFonts w:asciiTheme="minorHAnsi" w:hAnsiTheme="minorHAnsi"/>
          <w:lang w:val="en-US"/>
        </w:rPr>
        <w:t xml:space="preserve">The Finnish jurisprudence has evolved into the direction where focus is </w:t>
      </w:r>
      <w:r w:rsidR="00B07D64" w:rsidRPr="00B2043E">
        <w:rPr>
          <w:rFonts w:asciiTheme="minorHAnsi" w:hAnsiTheme="minorHAnsi"/>
          <w:lang w:val="en-US"/>
        </w:rPr>
        <w:t xml:space="preserve">more </w:t>
      </w:r>
      <w:r w:rsidRPr="00B2043E">
        <w:rPr>
          <w:rFonts w:asciiTheme="minorHAnsi" w:hAnsiTheme="minorHAnsi"/>
          <w:lang w:val="en-US"/>
        </w:rPr>
        <w:t xml:space="preserve">on the degree of </w:t>
      </w:r>
      <w:r w:rsidR="00105218" w:rsidRPr="00B2043E">
        <w:rPr>
          <w:rFonts w:asciiTheme="minorHAnsi" w:hAnsiTheme="minorHAnsi"/>
          <w:lang w:val="en-US"/>
        </w:rPr>
        <w:t>“</w:t>
      </w:r>
      <w:proofErr w:type="spellStart"/>
      <w:r w:rsidRPr="00B2043E">
        <w:rPr>
          <w:rFonts w:asciiTheme="minorHAnsi" w:hAnsiTheme="minorHAnsi"/>
          <w:lang w:val="en-US"/>
        </w:rPr>
        <w:t>unfreedom</w:t>
      </w:r>
      <w:proofErr w:type="spellEnd"/>
      <w:r w:rsidR="00105218" w:rsidRPr="00B2043E">
        <w:rPr>
          <w:rFonts w:asciiTheme="minorHAnsi" w:hAnsiTheme="minorHAnsi"/>
          <w:lang w:val="en-US"/>
        </w:rPr>
        <w:t>”</w:t>
      </w:r>
      <w:r w:rsidRPr="00B2043E">
        <w:rPr>
          <w:rFonts w:asciiTheme="minorHAnsi" w:hAnsiTheme="minorHAnsi"/>
          <w:lang w:val="en-US"/>
        </w:rPr>
        <w:t xml:space="preserve"> and the forms of domination and control rather than the coercive recruitment or transportation element of human trafficking.</w:t>
      </w:r>
      <w:r w:rsidR="00105218" w:rsidRPr="00B2043E">
        <w:rPr>
          <w:rFonts w:asciiTheme="minorHAnsi" w:hAnsiTheme="minorHAnsi"/>
          <w:lang w:val="en-US"/>
        </w:rPr>
        <w:t xml:space="preserve"> Attention has been paid more and more to the conditions under which the trafficking victims live</w:t>
      </w:r>
      <w:r w:rsidR="00B07D64" w:rsidRPr="00B2043E">
        <w:rPr>
          <w:rFonts w:asciiTheme="minorHAnsi" w:hAnsiTheme="minorHAnsi"/>
          <w:lang w:val="en-US"/>
        </w:rPr>
        <w:t xml:space="preserve"> and work</w:t>
      </w:r>
      <w:r w:rsidR="00105218" w:rsidRPr="00B2043E">
        <w:rPr>
          <w:rFonts w:asciiTheme="minorHAnsi" w:hAnsiTheme="minorHAnsi"/>
          <w:lang w:val="en-US"/>
        </w:rPr>
        <w:t xml:space="preserve"> rather than their possible prior consent to travel to Finland. </w:t>
      </w:r>
      <w:r w:rsidR="00E10318" w:rsidRPr="00B2043E">
        <w:rPr>
          <w:rFonts w:asciiTheme="minorHAnsi" w:hAnsiTheme="minorHAnsi"/>
          <w:lang w:val="en-US"/>
        </w:rPr>
        <w:t>This</w:t>
      </w:r>
      <w:r w:rsidR="00105218" w:rsidRPr="00B2043E">
        <w:rPr>
          <w:rFonts w:asciiTheme="minorHAnsi" w:hAnsiTheme="minorHAnsi"/>
          <w:lang w:val="en-US"/>
        </w:rPr>
        <w:t xml:space="preserve"> development of jurisprudence has been even more visible in the field of </w:t>
      </w:r>
      <w:proofErr w:type="spellStart"/>
      <w:r w:rsidR="00105218" w:rsidRPr="00B2043E">
        <w:rPr>
          <w:rFonts w:asciiTheme="minorHAnsi" w:hAnsiTheme="minorHAnsi"/>
          <w:lang w:val="en-US"/>
        </w:rPr>
        <w:t>labour</w:t>
      </w:r>
      <w:proofErr w:type="spellEnd"/>
      <w:r w:rsidR="00105218" w:rsidRPr="00B2043E">
        <w:rPr>
          <w:rFonts w:asciiTheme="minorHAnsi" w:hAnsiTheme="minorHAnsi"/>
          <w:lang w:val="en-US"/>
        </w:rPr>
        <w:t xml:space="preserve"> traffick</w:t>
      </w:r>
      <w:r w:rsidR="00B07D64" w:rsidRPr="00B2043E">
        <w:rPr>
          <w:rFonts w:asciiTheme="minorHAnsi" w:hAnsiTheme="minorHAnsi"/>
          <w:lang w:val="en-US"/>
        </w:rPr>
        <w:t xml:space="preserve">ing, and can partly explain the </w:t>
      </w:r>
      <w:r w:rsidR="00960F90">
        <w:rPr>
          <w:rFonts w:asciiTheme="minorHAnsi" w:hAnsiTheme="minorHAnsi"/>
          <w:lang w:val="en-US"/>
        </w:rPr>
        <w:t xml:space="preserve">increased </w:t>
      </w:r>
      <w:r w:rsidR="00B07D64" w:rsidRPr="00B2043E">
        <w:rPr>
          <w:rFonts w:asciiTheme="minorHAnsi" w:hAnsiTheme="minorHAnsi"/>
          <w:lang w:val="en-US"/>
        </w:rPr>
        <w:t>number of conviction co</w:t>
      </w:r>
      <w:r w:rsidR="00B07D64" w:rsidRPr="00B2043E">
        <w:rPr>
          <w:rFonts w:asciiTheme="minorHAnsi" w:hAnsiTheme="minorHAnsi"/>
          <w:lang w:val="en-US"/>
        </w:rPr>
        <w:t>m</w:t>
      </w:r>
      <w:r w:rsidR="00B07D64" w:rsidRPr="00B2043E">
        <w:rPr>
          <w:rFonts w:asciiTheme="minorHAnsi" w:hAnsiTheme="minorHAnsi"/>
          <w:lang w:val="en-US"/>
        </w:rPr>
        <w:t>pared to many other European</w:t>
      </w:r>
      <w:r w:rsidR="00960F90">
        <w:rPr>
          <w:rFonts w:asciiTheme="minorHAnsi" w:hAnsiTheme="minorHAnsi"/>
          <w:lang w:val="en-US"/>
        </w:rPr>
        <w:t xml:space="preserve"> or Nordic</w:t>
      </w:r>
      <w:r w:rsidR="00B07D64" w:rsidRPr="00B2043E">
        <w:rPr>
          <w:rFonts w:asciiTheme="minorHAnsi" w:hAnsiTheme="minorHAnsi"/>
          <w:lang w:val="en-US"/>
        </w:rPr>
        <w:t xml:space="preserve"> countries.</w:t>
      </w:r>
      <w:r w:rsidR="00105218" w:rsidRPr="00B2043E">
        <w:rPr>
          <w:rFonts w:asciiTheme="minorHAnsi" w:hAnsiTheme="minorHAnsi"/>
          <w:lang w:val="en-US"/>
        </w:rPr>
        <w:t xml:space="preserve"> </w:t>
      </w:r>
    </w:p>
    <w:p w:rsidR="00B2043E" w:rsidRPr="00B2043E" w:rsidRDefault="004E7DBB" w:rsidP="00E10318">
      <w:pPr>
        <w:ind w:left="1304" w:right="-32"/>
        <w:jc w:val="both"/>
        <w:rPr>
          <w:rFonts w:asciiTheme="minorHAnsi" w:hAnsiTheme="minorHAnsi"/>
          <w:lang w:val="en-US"/>
        </w:rPr>
      </w:pPr>
      <w:r w:rsidRPr="00B2043E">
        <w:rPr>
          <w:rFonts w:asciiTheme="minorHAnsi" w:hAnsiTheme="minorHAnsi"/>
          <w:lang w:val="en-US"/>
        </w:rPr>
        <w:t>Th</w:t>
      </w:r>
      <w:r w:rsidR="00B07D64" w:rsidRPr="00B2043E">
        <w:rPr>
          <w:rFonts w:asciiTheme="minorHAnsi" w:hAnsiTheme="minorHAnsi"/>
          <w:lang w:val="en-US"/>
        </w:rPr>
        <w:t>e Ombudsman considers that th</w:t>
      </w:r>
      <w:r w:rsidRPr="00B2043E">
        <w:rPr>
          <w:rFonts w:asciiTheme="minorHAnsi" w:hAnsiTheme="minorHAnsi"/>
          <w:lang w:val="en-US"/>
        </w:rPr>
        <w:t xml:space="preserve">is kind of understanding is in line with the international case law on other form of violence against women, i.e. sexual violence/rape. As the European Court of Human Rights has noted in its famous case-law </w:t>
      </w:r>
      <w:r w:rsidRPr="00B2043E">
        <w:rPr>
          <w:rFonts w:asciiTheme="minorHAnsi" w:hAnsiTheme="minorHAnsi"/>
          <w:i/>
          <w:lang w:val="en-US"/>
        </w:rPr>
        <w:t>M.C. v. Bulgaria</w:t>
      </w:r>
      <w:r w:rsidRPr="00B2043E">
        <w:rPr>
          <w:rFonts w:asciiTheme="minorHAnsi" w:hAnsiTheme="minorHAnsi"/>
          <w:lang w:val="en-US"/>
        </w:rPr>
        <w:t xml:space="preserve"> (2004), the lack of consent, not force, is perceived as the constituent element of the offence of rape in case-law in most E</w:t>
      </w:r>
      <w:r w:rsidRPr="00B2043E">
        <w:rPr>
          <w:rFonts w:asciiTheme="minorHAnsi" w:hAnsiTheme="minorHAnsi"/>
          <w:lang w:val="en-US"/>
        </w:rPr>
        <w:t>u</w:t>
      </w:r>
      <w:r w:rsidRPr="00B2043E">
        <w:rPr>
          <w:rFonts w:asciiTheme="minorHAnsi" w:hAnsiTheme="minorHAnsi"/>
          <w:lang w:val="en-US"/>
        </w:rPr>
        <w:t xml:space="preserve">ropean countries. The case demonstrates </w:t>
      </w:r>
      <w:r w:rsidR="00960F90">
        <w:rPr>
          <w:rFonts w:asciiTheme="minorHAnsi" w:hAnsiTheme="minorHAnsi"/>
          <w:lang w:val="en-US"/>
        </w:rPr>
        <w:t xml:space="preserve">that a legally valid consent is </w:t>
      </w:r>
      <w:r w:rsidRPr="00B2043E">
        <w:rPr>
          <w:rFonts w:asciiTheme="minorHAnsi" w:hAnsiTheme="minorHAnsi"/>
          <w:lang w:val="en-US"/>
        </w:rPr>
        <w:t>dependent on the ci</w:t>
      </w:r>
      <w:r w:rsidRPr="00B2043E">
        <w:rPr>
          <w:rFonts w:asciiTheme="minorHAnsi" w:hAnsiTheme="minorHAnsi"/>
          <w:lang w:val="en-US"/>
        </w:rPr>
        <w:t>r</w:t>
      </w:r>
      <w:r w:rsidRPr="00B2043E">
        <w:rPr>
          <w:rFonts w:asciiTheme="minorHAnsi" w:hAnsiTheme="minorHAnsi"/>
          <w:lang w:val="en-US"/>
        </w:rPr>
        <w:t xml:space="preserve">cumstances and the context where it has been given. The Court concluded that physical force is not a constituent element of rape, rather the lack of consent or the issue of non-consent that can be constituted by assessing the surrounding circumstances that could have inferred the lack of consent. </w:t>
      </w:r>
    </w:p>
    <w:p w:rsidR="004E7DBB" w:rsidRPr="00B2043E" w:rsidRDefault="00C67302" w:rsidP="00E10318">
      <w:pPr>
        <w:ind w:left="1304" w:right="-32"/>
        <w:jc w:val="both"/>
        <w:rPr>
          <w:rFonts w:asciiTheme="minorHAnsi" w:hAnsiTheme="minorHAnsi"/>
          <w:lang w:val="en-US"/>
        </w:rPr>
      </w:pPr>
      <w:r w:rsidRPr="00B2043E">
        <w:rPr>
          <w:rFonts w:asciiTheme="minorHAnsi" w:hAnsiTheme="minorHAnsi"/>
          <w:lang w:val="en-US"/>
        </w:rPr>
        <w:t xml:space="preserve">The discussion on rape law and the constituent element of non-consent in the criminal law is </w:t>
      </w:r>
      <w:r w:rsidR="00B07D64" w:rsidRPr="00B2043E">
        <w:rPr>
          <w:rFonts w:asciiTheme="minorHAnsi" w:hAnsiTheme="minorHAnsi"/>
          <w:lang w:val="en-US"/>
        </w:rPr>
        <w:t xml:space="preserve">currently </w:t>
      </w:r>
      <w:r w:rsidRPr="00B2043E">
        <w:rPr>
          <w:rFonts w:asciiTheme="minorHAnsi" w:hAnsiTheme="minorHAnsi"/>
          <w:lang w:val="en-US"/>
        </w:rPr>
        <w:t xml:space="preserve">under a discussion also in Finland, as it is in many other European countries. Many </w:t>
      </w:r>
      <w:r w:rsidRPr="00B2043E">
        <w:rPr>
          <w:rFonts w:asciiTheme="minorHAnsi" w:hAnsiTheme="minorHAnsi"/>
          <w:lang w:val="en-US"/>
        </w:rPr>
        <w:lastRenderedPageBreak/>
        <w:t xml:space="preserve">feminist criminologists and activists see the element on non-consent as a possibility to transfer the burden of proof from the victim to the perpetrator of suspected rape offence.  </w:t>
      </w:r>
    </w:p>
    <w:p w:rsidR="00E10318" w:rsidRPr="00B2043E" w:rsidRDefault="004E7DBB" w:rsidP="00E10318">
      <w:pPr>
        <w:ind w:left="1304" w:right="-32"/>
        <w:jc w:val="both"/>
        <w:rPr>
          <w:rFonts w:asciiTheme="minorHAnsi" w:hAnsiTheme="minorHAnsi"/>
          <w:lang w:val="en-US"/>
        </w:rPr>
      </w:pPr>
      <w:r w:rsidRPr="00B2043E">
        <w:rPr>
          <w:rFonts w:asciiTheme="minorHAnsi" w:hAnsiTheme="minorHAnsi"/>
          <w:lang w:val="en-US"/>
        </w:rPr>
        <w:t>As a final remark, the definition of human trafficking and its application and interpretation have great practical significance for those affected. O</w:t>
      </w:r>
      <w:r w:rsidR="00E10318" w:rsidRPr="00B2043E">
        <w:rPr>
          <w:rFonts w:asciiTheme="minorHAnsi" w:hAnsiTheme="minorHAnsi"/>
          <w:lang w:val="en-US"/>
        </w:rPr>
        <w:t>nly victims of human trafficking are ent</w:t>
      </w:r>
      <w:r w:rsidR="00E10318" w:rsidRPr="00B2043E">
        <w:rPr>
          <w:rFonts w:asciiTheme="minorHAnsi" w:hAnsiTheme="minorHAnsi"/>
          <w:lang w:val="en-US"/>
        </w:rPr>
        <w:t>i</w:t>
      </w:r>
      <w:r w:rsidR="00E10318" w:rsidRPr="00B2043E">
        <w:rPr>
          <w:rFonts w:asciiTheme="minorHAnsi" w:hAnsiTheme="minorHAnsi"/>
          <w:lang w:val="en-US"/>
        </w:rPr>
        <w:t>tled to the special assistance and protection measures pre</w:t>
      </w:r>
      <w:r w:rsidRPr="00B2043E">
        <w:rPr>
          <w:rFonts w:asciiTheme="minorHAnsi" w:hAnsiTheme="minorHAnsi"/>
          <w:lang w:val="en-US"/>
        </w:rPr>
        <w:t>scribed</w:t>
      </w:r>
      <w:r w:rsidR="00E10318" w:rsidRPr="00B2043E">
        <w:rPr>
          <w:rFonts w:asciiTheme="minorHAnsi" w:hAnsiTheme="minorHAnsi"/>
          <w:lang w:val="en-US"/>
        </w:rPr>
        <w:t xml:space="preserve"> in the international</w:t>
      </w:r>
      <w:r w:rsidRPr="00B2043E">
        <w:rPr>
          <w:rFonts w:asciiTheme="minorHAnsi" w:hAnsiTheme="minorHAnsi"/>
          <w:lang w:val="en-US"/>
        </w:rPr>
        <w:t xml:space="preserve"> legal</w:t>
      </w:r>
      <w:r w:rsidR="00E10318" w:rsidRPr="00B2043E">
        <w:rPr>
          <w:rFonts w:asciiTheme="minorHAnsi" w:hAnsiTheme="minorHAnsi"/>
          <w:lang w:val="en-US"/>
        </w:rPr>
        <w:t xml:space="preserve"> i</w:t>
      </w:r>
      <w:r w:rsidR="00E10318" w:rsidRPr="00B2043E">
        <w:rPr>
          <w:rFonts w:asciiTheme="minorHAnsi" w:hAnsiTheme="minorHAnsi"/>
          <w:lang w:val="en-US"/>
        </w:rPr>
        <w:t>n</w:t>
      </w:r>
      <w:r w:rsidR="00E10318" w:rsidRPr="00B2043E">
        <w:rPr>
          <w:rFonts w:asciiTheme="minorHAnsi" w:hAnsiTheme="minorHAnsi"/>
          <w:lang w:val="en-US"/>
        </w:rPr>
        <w:t>struments, such as Council of Europe Trafficking Convention and EU Anti-Trafficking Di</w:t>
      </w:r>
      <w:r w:rsidRPr="00B2043E">
        <w:rPr>
          <w:rFonts w:asciiTheme="minorHAnsi" w:hAnsiTheme="minorHAnsi"/>
          <w:lang w:val="en-US"/>
        </w:rPr>
        <w:t>rective.</w:t>
      </w:r>
      <w:r w:rsidR="00B07D64" w:rsidRPr="00B2043E">
        <w:rPr>
          <w:rFonts w:asciiTheme="minorHAnsi" w:hAnsiTheme="minorHAnsi"/>
          <w:lang w:val="en-US"/>
        </w:rPr>
        <w:t xml:space="preserve"> The anti-trafficking laws</w:t>
      </w:r>
      <w:r w:rsidR="00C67302" w:rsidRPr="00B2043E">
        <w:rPr>
          <w:rFonts w:asciiTheme="minorHAnsi" w:hAnsiTheme="minorHAnsi"/>
          <w:lang w:val="en-US"/>
        </w:rPr>
        <w:t xml:space="preserve"> provide extensive assistance and protection for those who have su</w:t>
      </w:r>
      <w:r w:rsidR="00C67302" w:rsidRPr="00B2043E">
        <w:rPr>
          <w:rFonts w:asciiTheme="minorHAnsi" w:hAnsiTheme="minorHAnsi"/>
          <w:lang w:val="en-US"/>
        </w:rPr>
        <w:t>f</w:t>
      </w:r>
      <w:r w:rsidR="00C67302" w:rsidRPr="00B2043E">
        <w:rPr>
          <w:rFonts w:asciiTheme="minorHAnsi" w:hAnsiTheme="minorHAnsi"/>
          <w:lang w:val="en-US"/>
        </w:rPr>
        <w:t>fered from serious forms of exploitation in migration, regard</w:t>
      </w:r>
      <w:r w:rsidR="00B07D64" w:rsidRPr="00B2043E">
        <w:rPr>
          <w:rFonts w:asciiTheme="minorHAnsi" w:hAnsiTheme="minorHAnsi"/>
          <w:lang w:val="en-US"/>
        </w:rPr>
        <w:t xml:space="preserve">less of their residence status. </w:t>
      </w:r>
      <w:r w:rsidR="00C67302" w:rsidRPr="00B2043E">
        <w:rPr>
          <w:rFonts w:asciiTheme="minorHAnsi" w:hAnsiTheme="minorHAnsi"/>
          <w:lang w:val="en-US"/>
        </w:rPr>
        <w:t xml:space="preserve">Moreover, the countries are under legal obligation </w:t>
      </w:r>
      <w:r w:rsidR="00B07D64" w:rsidRPr="00B2043E">
        <w:rPr>
          <w:rFonts w:asciiTheme="minorHAnsi" w:hAnsiTheme="minorHAnsi"/>
          <w:lang w:val="en-US"/>
        </w:rPr>
        <w:t xml:space="preserve">to </w:t>
      </w:r>
      <w:r w:rsidR="00CC438F" w:rsidRPr="00B2043E">
        <w:rPr>
          <w:rFonts w:asciiTheme="minorHAnsi" w:hAnsiTheme="minorHAnsi"/>
          <w:lang w:val="en-US"/>
        </w:rPr>
        <w:t>take legal and other measures to discou</w:t>
      </w:r>
      <w:r w:rsidR="00CC438F" w:rsidRPr="00B2043E">
        <w:rPr>
          <w:rFonts w:asciiTheme="minorHAnsi" w:hAnsiTheme="minorHAnsi"/>
          <w:lang w:val="en-US"/>
        </w:rPr>
        <w:t>r</w:t>
      </w:r>
      <w:r w:rsidR="00CC438F" w:rsidRPr="00B2043E">
        <w:rPr>
          <w:rFonts w:asciiTheme="minorHAnsi" w:hAnsiTheme="minorHAnsi"/>
          <w:lang w:val="en-US"/>
        </w:rPr>
        <w:t>age the demand that is considered to foster trafficking in human beings for the purpose of se</w:t>
      </w:r>
      <w:r w:rsidR="00CC438F" w:rsidRPr="00B2043E">
        <w:rPr>
          <w:rFonts w:asciiTheme="minorHAnsi" w:hAnsiTheme="minorHAnsi"/>
          <w:lang w:val="en-US"/>
        </w:rPr>
        <w:t>x</w:t>
      </w:r>
      <w:r w:rsidR="00CC438F" w:rsidRPr="00B2043E">
        <w:rPr>
          <w:rFonts w:asciiTheme="minorHAnsi" w:hAnsiTheme="minorHAnsi"/>
          <w:lang w:val="en-US"/>
        </w:rPr>
        <w:t xml:space="preserve">ual exploitation. </w:t>
      </w:r>
    </w:p>
    <w:p w:rsidR="00B7273B" w:rsidRPr="00B2043E" w:rsidRDefault="00B7273B" w:rsidP="00D36FB9">
      <w:pPr>
        <w:spacing w:after="240" w:line="240" w:lineRule="auto"/>
        <w:ind w:left="2608"/>
        <w:jc w:val="both"/>
        <w:rPr>
          <w:rFonts w:asciiTheme="minorHAnsi" w:eastAsia="Times New Roman" w:hAnsiTheme="minorHAnsi" w:cs="Times New Roman"/>
          <w:lang w:val="en-US"/>
        </w:rPr>
      </w:pPr>
    </w:p>
    <w:p w:rsidR="00B2043E" w:rsidRDefault="00B2043E" w:rsidP="00D36FB9">
      <w:pPr>
        <w:spacing w:after="240" w:line="240" w:lineRule="auto"/>
        <w:ind w:left="2608"/>
        <w:jc w:val="both"/>
        <w:rPr>
          <w:rFonts w:asciiTheme="minorHAnsi" w:eastAsia="Times New Roman" w:hAnsiTheme="minorHAnsi" w:cs="Times New Roman"/>
          <w:lang w:val="en-US"/>
        </w:rPr>
      </w:pPr>
    </w:p>
    <w:p w:rsidR="009A3C5A" w:rsidRPr="00B2043E" w:rsidRDefault="009A3C5A" w:rsidP="00D36FB9">
      <w:pPr>
        <w:spacing w:after="240" w:line="240" w:lineRule="auto"/>
        <w:ind w:left="2608"/>
        <w:jc w:val="both"/>
        <w:rPr>
          <w:rFonts w:asciiTheme="minorHAnsi" w:eastAsia="Times New Roman" w:hAnsiTheme="minorHAnsi" w:cs="Times New Roman"/>
          <w:lang w:val="en-US"/>
        </w:rPr>
      </w:pPr>
    </w:p>
    <w:p w:rsidR="000A67C0" w:rsidRPr="00B2043E" w:rsidRDefault="002F3495" w:rsidP="00D36FB9">
      <w:pPr>
        <w:spacing w:after="240" w:line="240" w:lineRule="auto"/>
        <w:ind w:left="2608"/>
        <w:jc w:val="both"/>
        <w:rPr>
          <w:rFonts w:asciiTheme="minorHAnsi" w:eastAsia="Times New Roman" w:hAnsiTheme="minorHAnsi" w:cs="Times New Roman"/>
          <w:lang w:val="en-US"/>
        </w:rPr>
      </w:pPr>
      <w:r w:rsidRPr="00B2043E">
        <w:rPr>
          <w:rFonts w:asciiTheme="minorHAnsi" w:eastAsia="Times New Roman" w:hAnsiTheme="minorHAnsi" w:cs="Times New Roman"/>
          <w:lang w:val="en-US"/>
        </w:rPr>
        <w:t>Non-Discrimination Ombudsman</w:t>
      </w:r>
      <w:r w:rsidR="000A67C0" w:rsidRPr="00B2043E">
        <w:rPr>
          <w:rFonts w:asciiTheme="minorHAnsi" w:eastAsia="Times New Roman" w:hAnsiTheme="minorHAnsi" w:cs="Times New Roman"/>
          <w:lang w:val="en-US"/>
        </w:rPr>
        <w:tab/>
      </w:r>
      <w:proofErr w:type="spellStart"/>
      <w:r w:rsidR="00F732C7" w:rsidRPr="00B2043E">
        <w:rPr>
          <w:rFonts w:asciiTheme="minorHAnsi" w:eastAsia="Times New Roman" w:hAnsiTheme="minorHAnsi" w:cs="Times New Roman"/>
          <w:lang w:val="en-US"/>
        </w:rPr>
        <w:t>Kirsi</w:t>
      </w:r>
      <w:proofErr w:type="spellEnd"/>
      <w:r w:rsidR="00F732C7" w:rsidRPr="00B2043E">
        <w:rPr>
          <w:rFonts w:asciiTheme="minorHAnsi" w:eastAsia="Times New Roman" w:hAnsiTheme="minorHAnsi" w:cs="Times New Roman"/>
          <w:lang w:val="en-US"/>
        </w:rPr>
        <w:t xml:space="preserve"> </w:t>
      </w:r>
      <w:proofErr w:type="spellStart"/>
      <w:r w:rsidR="00F732C7" w:rsidRPr="00B2043E">
        <w:rPr>
          <w:rFonts w:asciiTheme="minorHAnsi" w:eastAsia="Times New Roman" w:hAnsiTheme="minorHAnsi" w:cs="Times New Roman"/>
          <w:lang w:val="en-US"/>
        </w:rPr>
        <w:t>Pimiä</w:t>
      </w:r>
      <w:proofErr w:type="spellEnd"/>
    </w:p>
    <w:p w:rsidR="000A67C0" w:rsidRPr="00B2043E" w:rsidRDefault="000A67C0" w:rsidP="00D36FB9">
      <w:pPr>
        <w:spacing w:after="240" w:line="240" w:lineRule="auto"/>
        <w:ind w:left="2608"/>
        <w:jc w:val="both"/>
        <w:rPr>
          <w:rFonts w:asciiTheme="minorHAnsi" w:eastAsia="Times New Roman" w:hAnsiTheme="minorHAnsi" w:cs="Times New Roman"/>
          <w:lang w:val="en-US"/>
        </w:rPr>
      </w:pPr>
    </w:p>
    <w:p w:rsidR="009607F8" w:rsidRPr="00B2043E" w:rsidRDefault="009607F8" w:rsidP="00D36FB9">
      <w:pPr>
        <w:spacing w:after="240" w:line="240" w:lineRule="auto"/>
        <w:ind w:left="2608"/>
        <w:jc w:val="both"/>
        <w:rPr>
          <w:rFonts w:asciiTheme="minorHAnsi" w:eastAsia="Times New Roman" w:hAnsiTheme="minorHAnsi" w:cs="Times New Roman"/>
          <w:lang w:val="en-US"/>
        </w:rPr>
      </w:pPr>
    </w:p>
    <w:p w:rsidR="000A67C0" w:rsidRPr="00B2043E" w:rsidRDefault="009607F8" w:rsidP="00D36FB9">
      <w:pPr>
        <w:spacing w:after="240" w:line="240" w:lineRule="auto"/>
        <w:ind w:left="2608"/>
        <w:jc w:val="both"/>
        <w:rPr>
          <w:rFonts w:asciiTheme="minorHAnsi" w:eastAsia="Times New Roman" w:hAnsiTheme="minorHAnsi" w:cs="Times New Roman"/>
          <w:lang w:val="en-US"/>
        </w:rPr>
      </w:pPr>
      <w:r w:rsidRPr="00B2043E">
        <w:rPr>
          <w:rFonts w:asciiTheme="minorHAnsi" w:eastAsia="Times New Roman" w:hAnsiTheme="minorHAnsi" w:cs="Times New Roman"/>
          <w:lang w:val="en-US"/>
        </w:rPr>
        <w:t>Senior Officer</w:t>
      </w:r>
      <w:r w:rsidR="000A67C0" w:rsidRPr="00B2043E">
        <w:rPr>
          <w:rFonts w:asciiTheme="minorHAnsi" w:eastAsia="Times New Roman" w:hAnsiTheme="minorHAnsi" w:cs="Times New Roman"/>
          <w:lang w:val="en-US"/>
        </w:rPr>
        <w:tab/>
      </w:r>
      <w:r w:rsidR="008A46BD" w:rsidRPr="00B2043E">
        <w:rPr>
          <w:rFonts w:asciiTheme="minorHAnsi" w:eastAsia="Times New Roman" w:hAnsiTheme="minorHAnsi" w:cs="Times New Roman"/>
          <w:lang w:val="en-US"/>
        </w:rPr>
        <w:tab/>
      </w:r>
      <w:r w:rsidR="009A3C5A">
        <w:rPr>
          <w:rFonts w:asciiTheme="minorHAnsi" w:eastAsia="Times New Roman" w:hAnsiTheme="minorHAnsi" w:cs="Times New Roman"/>
          <w:lang w:val="en-US"/>
        </w:rPr>
        <w:tab/>
      </w:r>
      <w:proofErr w:type="spellStart"/>
      <w:r w:rsidR="00F732C7" w:rsidRPr="00B2043E">
        <w:rPr>
          <w:rFonts w:asciiTheme="minorHAnsi" w:eastAsia="Times New Roman" w:hAnsiTheme="minorHAnsi" w:cs="Times New Roman"/>
          <w:lang w:val="en-US"/>
        </w:rPr>
        <w:t>Venla</w:t>
      </w:r>
      <w:proofErr w:type="spellEnd"/>
      <w:r w:rsidR="00F732C7" w:rsidRPr="00B2043E">
        <w:rPr>
          <w:rFonts w:asciiTheme="minorHAnsi" w:eastAsia="Times New Roman" w:hAnsiTheme="minorHAnsi" w:cs="Times New Roman"/>
          <w:lang w:val="en-US"/>
        </w:rPr>
        <w:t xml:space="preserve"> Roth</w:t>
      </w:r>
    </w:p>
    <w:p w:rsidR="000A67C0" w:rsidRPr="00B2043E" w:rsidRDefault="000A67C0" w:rsidP="00D36FB9">
      <w:pPr>
        <w:spacing w:after="240" w:line="240" w:lineRule="auto"/>
        <w:ind w:left="2608"/>
        <w:jc w:val="both"/>
        <w:rPr>
          <w:rFonts w:asciiTheme="minorHAnsi" w:eastAsia="Times New Roman" w:hAnsiTheme="minorHAnsi" w:cs="Times New Roman"/>
          <w:lang w:val="en-US"/>
        </w:rPr>
      </w:pPr>
    </w:p>
    <w:p w:rsidR="000A67C0" w:rsidRPr="00B2043E" w:rsidRDefault="000A67C0" w:rsidP="00D36FB9">
      <w:pPr>
        <w:spacing w:after="240" w:line="240" w:lineRule="auto"/>
        <w:ind w:left="2608"/>
        <w:jc w:val="both"/>
        <w:rPr>
          <w:rFonts w:asciiTheme="minorHAnsi" w:eastAsia="Times New Roman" w:hAnsiTheme="minorHAnsi" w:cs="Times New Roman"/>
          <w:lang w:val="en-US"/>
        </w:rPr>
      </w:pPr>
    </w:p>
    <w:tbl>
      <w:tblPr>
        <w:tblStyle w:val="Eireunaviivaa"/>
        <w:tblW w:w="0" w:type="auto"/>
        <w:tblLayout w:type="fixed"/>
        <w:tblLook w:val="04A0" w:firstRow="1" w:lastRow="0" w:firstColumn="1" w:lastColumn="0" w:noHBand="0" w:noVBand="1"/>
      </w:tblPr>
      <w:tblGrid>
        <w:gridCol w:w="2608"/>
        <w:gridCol w:w="7761"/>
      </w:tblGrid>
      <w:tr w:rsidR="000A67C0" w:rsidRPr="00B2043E" w:rsidTr="00CC438F">
        <w:trPr>
          <w:trHeight w:val="556"/>
        </w:trPr>
        <w:tc>
          <w:tcPr>
            <w:tcW w:w="2608" w:type="dxa"/>
          </w:tcPr>
          <w:p w:rsidR="000A67C0" w:rsidRPr="00B2043E" w:rsidRDefault="000A67C0" w:rsidP="00D36FB9">
            <w:pPr>
              <w:jc w:val="both"/>
              <w:rPr>
                <w:rFonts w:asciiTheme="minorHAnsi" w:hAnsiTheme="minorHAnsi"/>
                <w:sz w:val="22"/>
                <w:szCs w:val="22"/>
                <w:lang w:val="en-US"/>
              </w:rPr>
            </w:pPr>
          </w:p>
        </w:tc>
        <w:tc>
          <w:tcPr>
            <w:tcW w:w="7761" w:type="dxa"/>
          </w:tcPr>
          <w:p w:rsidR="000A67C0" w:rsidRPr="00B2043E" w:rsidRDefault="000A67C0" w:rsidP="00D36FB9">
            <w:pPr>
              <w:jc w:val="both"/>
              <w:rPr>
                <w:rFonts w:asciiTheme="minorHAnsi" w:hAnsiTheme="minorHAnsi"/>
                <w:sz w:val="22"/>
                <w:szCs w:val="22"/>
                <w:lang w:val="en-US"/>
              </w:rPr>
            </w:pPr>
          </w:p>
        </w:tc>
      </w:tr>
      <w:tr w:rsidR="000A67C0" w:rsidRPr="00B2043E" w:rsidTr="000A67C0">
        <w:trPr>
          <w:trHeight w:val="556"/>
        </w:trPr>
        <w:tc>
          <w:tcPr>
            <w:tcW w:w="2608" w:type="dxa"/>
            <w:hideMark/>
          </w:tcPr>
          <w:p w:rsidR="000A67C0" w:rsidRPr="00B2043E" w:rsidRDefault="00D95615" w:rsidP="00D36FB9">
            <w:pPr>
              <w:jc w:val="both"/>
              <w:rPr>
                <w:rFonts w:asciiTheme="minorHAnsi" w:hAnsiTheme="minorHAnsi"/>
                <w:sz w:val="22"/>
                <w:szCs w:val="22"/>
              </w:rPr>
            </w:pPr>
            <w:proofErr w:type="spellStart"/>
            <w:r w:rsidRPr="00B2043E">
              <w:rPr>
                <w:rFonts w:asciiTheme="minorHAnsi" w:hAnsiTheme="minorHAnsi"/>
                <w:sz w:val="22"/>
                <w:szCs w:val="22"/>
              </w:rPr>
              <w:t>Distribution</w:t>
            </w:r>
            <w:proofErr w:type="spellEnd"/>
          </w:p>
        </w:tc>
        <w:tc>
          <w:tcPr>
            <w:tcW w:w="7761" w:type="dxa"/>
            <w:hideMark/>
          </w:tcPr>
          <w:p w:rsidR="000A67C0" w:rsidRPr="00B2043E" w:rsidRDefault="00CC438F" w:rsidP="00D36FB9">
            <w:pPr>
              <w:jc w:val="both"/>
              <w:rPr>
                <w:rFonts w:asciiTheme="minorHAnsi" w:hAnsiTheme="minorHAnsi"/>
                <w:sz w:val="22"/>
                <w:szCs w:val="22"/>
              </w:rPr>
            </w:pPr>
            <w:r w:rsidRPr="00B2043E">
              <w:rPr>
                <w:rFonts w:asciiTheme="minorHAnsi" w:hAnsiTheme="minorHAnsi"/>
                <w:sz w:val="22"/>
                <w:szCs w:val="22"/>
              </w:rPr>
              <w:t xml:space="preserve">CEDAW </w:t>
            </w:r>
            <w:proofErr w:type="spellStart"/>
            <w:r w:rsidRPr="00B2043E">
              <w:rPr>
                <w:rFonts w:asciiTheme="minorHAnsi" w:hAnsiTheme="minorHAnsi"/>
                <w:sz w:val="22"/>
                <w:szCs w:val="22"/>
              </w:rPr>
              <w:t>Committee</w:t>
            </w:r>
            <w:proofErr w:type="spellEnd"/>
          </w:p>
        </w:tc>
      </w:tr>
      <w:tr w:rsidR="000A67C0" w:rsidRPr="00B2043E" w:rsidTr="000A67C0">
        <w:trPr>
          <w:trHeight w:val="556"/>
        </w:trPr>
        <w:tc>
          <w:tcPr>
            <w:tcW w:w="2608" w:type="dxa"/>
            <w:hideMark/>
          </w:tcPr>
          <w:p w:rsidR="000A67C0" w:rsidRPr="00B2043E" w:rsidRDefault="00D95615" w:rsidP="00D36FB9">
            <w:pPr>
              <w:jc w:val="both"/>
              <w:rPr>
                <w:rFonts w:asciiTheme="minorHAnsi" w:hAnsiTheme="minorHAnsi"/>
                <w:sz w:val="22"/>
                <w:szCs w:val="22"/>
              </w:rPr>
            </w:pPr>
            <w:r w:rsidRPr="00B2043E">
              <w:rPr>
                <w:rFonts w:asciiTheme="minorHAnsi" w:hAnsiTheme="minorHAnsi"/>
                <w:sz w:val="22"/>
                <w:szCs w:val="22"/>
              </w:rPr>
              <w:t xml:space="preserve">For </w:t>
            </w:r>
            <w:proofErr w:type="spellStart"/>
            <w:r w:rsidRPr="00B2043E">
              <w:rPr>
                <w:rFonts w:asciiTheme="minorHAnsi" w:hAnsiTheme="minorHAnsi"/>
                <w:sz w:val="22"/>
                <w:szCs w:val="22"/>
              </w:rPr>
              <w:t>information</w:t>
            </w:r>
            <w:proofErr w:type="spellEnd"/>
          </w:p>
        </w:tc>
        <w:tc>
          <w:tcPr>
            <w:tcW w:w="7761" w:type="dxa"/>
            <w:hideMark/>
          </w:tcPr>
          <w:p w:rsidR="000A67C0" w:rsidRPr="00B2043E" w:rsidRDefault="00CC438F" w:rsidP="00D36FB9">
            <w:pPr>
              <w:jc w:val="both"/>
              <w:rPr>
                <w:rFonts w:asciiTheme="minorHAnsi" w:hAnsiTheme="minorHAnsi"/>
                <w:sz w:val="22"/>
                <w:szCs w:val="22"/>
              </w:rPr>
            </w:pPr>
            <w:proofErr w:type="spellStart"/>
            <w:r w:rsidRPr="00B2043E">
              <w:rPr>
                <w:rFonts w:asciiTheme="minorHAnsi" w:hAnsiTheme="minorHAnsi"/>
                <w:sz w:val="22"/>
                <w:szCs w:val="22"/>
              </w:rPr>
              <w:t>Ministry</w:t>
            </w:r>
            <w:proofErr w:type="spellEnd"/>
            <w:r w:rsidRPr="00B2043E">
              <w:rPr>
                <w:rFonts w:asciiTheme="minorHAnsi" w:hAnsiTheme="minorHAnsi"/>
                <w:sz w:val="22"/>
                <w:szCs w:val="22"/>
              </w:rPr>
              <w:t xml:space="preserve"> for </w:t>
            </w:r>
            <w:proofErr w:type="spellStart"/>
            <w:r w:rsidRPr="00B2043E">
              <w:rPr>
                <w:rFonts w:asciiTheme="minorHAnsi" w:hAnsiTheme="minorHAnsi"/>
                <w:sz w:val="22"/>
                <w:szCs w:val="22"/>
              </w:rPr>
              <w:t>Foreign</w:t>
            </w:r>
            <w:proofErr w:type="spellEnd"/>
            <w:r w:rsidRPr="00B2043E">
              <w:rPr>
                <w:rFonts w:asciiTheme="minorHAnsi" w:hAnsiTheme="minorHAnsi"/>
                <w:sz w:val="22"/>
                <w:szCs w:val="22"/>
              </w:rPr>
              <w:t xml:space="preserve"> </w:t>
            </w:r>
            <w:proofErr w:type="spellStart"/>
            <w:r w:rsidRPr="00B2043E">
              <w:rPr>
                <w:rFonts w:asciiTheme="minorHAnsi" w:hAnsiTheme="minorHAnsi"/>
                <w:sz w:val="22"/>
                <w:szCs w:val="22"/>
              </w:rPr>
              <w:t>Affairs</w:t>
            </w:r>
            <w:proofErr w:type="spellEnd"/>
          </w:p>
        </w:tc>
      </w:tr>
    </w:tbl>
    <w:p w:rsidR="00EE547C" w:rsidRPr="00B2043E" w:rsidRDefault="00EE547C" w:rsidP="00D36FB9">
      <w:pPr>
        <w:jc w:val="both"/>
        <w:rPr>
          <w:rFonts w:asciiTheme="minorHAnsi" w:hAnsiTheme="minorHAnsi"/>
          <w:sz w:val="24"/>
          <w:szCs w:val="24"/>
        </w:rPr>
      </w:pPr>
    </w:p>
    <w:sectPr w:rsidR="00EE547C" w:rsidRPr="00B2043E" w:rsidSect="00D36FB9">
      <w:headerReference w:type="default" r:id="rId11"/>
      <w:headerReference w:type="first" r:id="rId12"/>
      <w:footerReference w:type="first" r:id="rId13"/>
      <w:pgSz w:w="11906" w:h="16838"/>
      <w:pgMar w:top="1531" w:right="566" w:bottom="2127" w:left="1134"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FD0" w:rsidRDefault="00181FD0" w:rsidP="007638FA">
      <w:pPr>
        <w:spacing w:after="0" w:line="240" w:lineRule="auto"/>
      </w:pPr>
      <w:r>
        <w:separator/>
      </w:r>
    </w:p>
  </w:endnote>
  <w:endnote w:type="continuationSeparator" w:id="0">
    <w:p w:rsidR="00181FD0" w:rsidRDefault="00181FD0" w:rsidP="00763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ource Sans Pro">
    <w:altName w:val="Cambria Math"/>
    <w:charset w:val="00"/>
    <w:family w:val="swiss"/>
    <w:pitch w:val="variable"/>
    <w:sig w:usb0="00000001" w:usb1="02000001"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Batang">
    <w:altName w:val="바탕"/>
    <w:charset w:val="81"/>
    <w:family w:val="roman"/>
    <w:pitch w:val="variable"/>
    <w:sig w:usb0="B00002AF" w:usb1="69D77CFB" w:usb2="00000030" w:usb3="00000000" w:csb0="0008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FD0" w:rsidRPr="00AF5791" w:rsidRDefault="00181FD0" w:rsidP="00E96007">
    <w:pPr>
      <w:keepNext/>
      <w:keepLines/>
      <w:tabs>
        <w:tab w:val="left" w:pos="3828"/>
        <w:tab w:val="left" w:pos="5812"/>
        <w:tab w:val="left" w:pos="8222"/>
      </w:tabs>
      <w:spacing w:before="600" w:after="0" w:line="280" w:lineRule="exact"/>
      <w:ind w:left="-284" w:firstLine="284"/>
      <w:outlineLvl w:val="3"/>
      <w:rPr>
        <w:bCs/>
        <w:iCs/>
        <w:sz w:val="18"/>
        <w:szCs w:val="18"/>
        <w:lang w:val="fr-FR"/>
      </w:rPr>
    </w:pPr>
    <w:r w:rsidRPr="00AF5791">
      <w:rPr>
        <w:b/>
        <w:bCs/>
        <w:iCs/>
        <w:noProof/>
        <w:color w:val="58595B"/>
        <w:sz w:val="18"/>
        <w:szCs w:val="18"/>
        <w:lang w:val="en-US"/>
      </w:rPr>
      <w:drawing>
        <wp:anchor distT="0" distB="0" distL="114300" distR="114300" simplePos="0" relativeHeight="251665408" behindDoc="0" locked="0" layoutInCell="1" allowOverlap="1" wp14:anchorId="671C8A0C" wp14:editId="4CE8DFE0">
          <wp:simplePos x="0" y="0"/>
          <wp:positionH relativeFrom="page">
            <wp:posOffset>495935</wp:posOffset>
          </wp:positionH>
          <wp:positionV relativeFrom="page">
            <wp:posOffset>9574530</wp:posOffset>
          </wp:positionV>
          <wp:extent cx="6572250" cy="152400"/>
          <wp:effectExtent l="0" t="0" r="0" b="0"/>
          <wp:wrapSquare wrapText="bothSides"/>
          <wp:docPr id="2" name="Kuva 2" descr="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0"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5791">
      <w:rPr>
        <w:b/>
        <w:bCs/>
        <w:iCs/>
        <w:color w:val="58595B"/>
        <w:sz w:val="18"/>
        <w:szCs w:val="18"/>
        <w:lang w:val="fr-FR"/>
      </w:rPr>
      <w:t>NON-DISCRIMINATION OMBUDSMAN</w:t>
    </w:r>
    <w:r w:rsidRPr="00AF5791">
      <w:rPr>
        <w:bCs/>
        <w:iCs/>
        <w:color w:val="58595B"/>
        <w:sz w:val="18"/>
        <w:szCs w:val="18"/>
        <w:lang w:val="fr-FR"/>
      </w:rPr>
      <w:tab/>
    </w:r>
    <w:r>
      <w:rPr>
        <w:bCs/>
        <w:iCs/>
        <w:sz w:val="18"/>
        <w:szCs w:val="18"/>
        <w:lang w:val="en-US"/>
      </w:rPr>
      <w:t>P.O. Box 24</w:t>
    </w:r>
    <w:r w:rsidRPr="00603489">
      <w:rPr>
        <w:bCs/>
        <w:iCs/>
        <w:sz w:val="18"/>
        <w:szCs w:val="18"/>
        <w:lang w:val="en-US"/>
      </w:rPr>
      <w:tab/>
      <w:t>Tel</w:t>
    </w:r>
    <w:r>
      <w:rPr>
        <w:bCs/>
        <w:iCs/>
        <w:sz w:val="18"/>
        <w:szCs w:val="18"/>
        <w:lang w:val="en-US"/>
      </w:rPr>
      <w:t>ephone: 0295 666 800</w:t>
    </w:r>
    <w:r>
      <w:rPr>
        <w:bCs/>
        <w:iCs/>
        <w:sz w:val="18"/>
        <w:szCs w:val="18"/>
        <w:lang w:val="en-US"/>
      </w:rPr>
      <w:tab/>
      <w:t>Internet: ww.syrjinta</w:t>
    </w:r>
    <w:r w:rsidRPr="00603489">
      <w:rPr>
        <w:bCs/>
        <w:iCs/>
        <w:sz w:val="18"/>
        <w:szCs w:val="18"/>
        <w:lang w:val="en-US"/>
      </w:rPr>
      <w:t>.fi</w:t>
    </w:r>
  </w:p>
  <w:p w:rsidR="00181FD0" w:rsidRPr="00D11CE6" w:rsidRDefault="00181FD0" w:rsidP="00E96007">
    <w:pPr>
      <w:keepNext/>
      <w:keepLines/>
      <w:tabs>
        <w:tab w:val="left" w:pos="3828"/>
        <w:tab w:val="left" w:pos="5812"/>
        <w:tab w:val="left" w:pos="8789"/>
      </w:tabs>
      <w:spacing w:after="0" w:line="280" w:lineRule="exact"/>
      <w:outlineLvl w:val="3"/>
      <w:rPr>
        <w:bCs/>
        <w:iCs/>
        <w:sz w:val="18"/>
        <w:szCs w:val="18"/>
        <w:lang w:val="en-GB"/>
      </w:rPr>
    </w:pPr>
    <w:r w:rsidRPr="00AF5791">
      <w:rPr>
        <w:bCs/>
        <w:iCs/>
        <w:sz w:val="18"/>
        <w:szCs w:val="18"/>
        <w:lang w:val="fr-FR"/>
      </w:rPr>
      <w:tab/>
    </w:r>
    <w:r>
      <w:rPr>
        <w:bCs/>
        <w:iCs/>
        <w:sz w:val="18"/>
        <w:szCs w:val="18"/>
        <w:lang w:val="en-GB"/>
      </w:rPr>
      <w:t>00023 Government</w:t>
    </w:r>
    <w:r w:rsidRPr="00D11CE6">
      <w:rPr>
        <w:bCs/>
        <w:iCs/>
        <w:sz w:val="18"/>
        <w:szCs w:val="18"/>
        <w:lang w:val="en-GB"/>
      </w:rPr>
      <w:tab/>
      <w:t>E-mail: yvv@oikeus.fi</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FD0" w:rsidRDefault="00181FD0" w:rsidP="007638FA">
      <w:pPr>
        <w:spacing w:after="0" w:line="240" w:lineRule="auto"/>
      </w:pPr>
      <w:r>
        <w:separator/>
      </w:r>
    </w:p>
  </w:footnote>
  <w:footnote w:type="continuationSeparator" w:id="0">
    <w:p w:rsidR="00181FD0" w:rsidRDefault="00181FD0" w:rsidP="007638F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FD0" w:rsidRPr="000A67C0" w:rsidRDefault="00181FD0" w:rsidP="000A67C0">
    <w:pPr>
      <w:pStyle w:val="Header"/>
      <w:jc w:val="right"/>
      <w:rPr>
        <w:rFonts w:ascii="Times New Roman" w:hAnsi="Times New Roman" w:cs="Times New Roman"/>
        <w:sz w:val="24"/>
        <w:szCs w:val="24"/>
      </w:rPr>
    </w:pPr>
    <w:r w:rsidRPr="000A67C0">
      <w:rPr>
        <w:rFonts w:ascii="Times New Roman" w:hAnsi="Times New Roman" w:cs="Times New Roman"/>
        <w:sz w:val="24"/>
        <w:szCs w:val="24"/>
      </w:rPr>
      <w:fldChar w:fldCharType="begin"/>
    </w:r>
    <w:r w:rsidRPr="000A67C0">
      <w:rPr>
        <w:rFonts w:ascii="Times New Roman" w:hAnsi="Times New Roman" w:cs="Times New Roman"/>
        <w:sz w:val="24"/>
        <w:szCs w:val="24"/>
      </w:rPr>
      <w:instrText xml:space="preserve"> PAGE   \* MERGEFORMAT </w:instrText>
    </w:r>
    <w:r w:rsidRPr="000A67C0">
      <w:rPr>
        <w:rFonts w:ascii="Times New Roman" w:hAnsi="Times New Roman" w:cs="Times New Roman"/>
        <w:sz w:val="24"/>
        <w:szCs w:val="24"/>
      </w:rPr>
      <w:fldChar w:fldCharType="separate"/>
    </w:r>
    <w:r w:rsidR="000828A1">
      <w:rPr>
        <w:rFonts w:ascii="Times New Roman" w:hAnsi="Times New Roman" w:cs="Times New Roman"/>
        <w:noProof/>
        <w:sz w:val="24"/>
        <w:szCs w:val="24"/>
      </w:rPr>
      <w:t>2</w:t>
    </w:r>
    <w:r w:rsidRPr="000A67C0">
      <w:rPr>
        <w:rFonts w:ascii="Times New Roman" w:hAnsi="Times New Roman" w:cs="Times New Roman"/>
        <w:sz w:val="24"/>
        <w:szCs w:val="24"/>
      </w:rPr>
      <w:fldChar w:fldCharType="end"/>
    </w:r>
    <w:r w:rsidRPr="000A67C0">
      <w:rPr>
        <w:rFonts w:ascii="Times New Roman" w:hAnsi="Times New Roman" w:cs="Times New Roman"/>
        <w:sz w:val="24"/>
        <w:szCs w:val="24"/>
      </w:rPr>
      <w:t xml:space="preserve"> (</w:t>
    </w:r>
    <w:r w:rsidRPr="000A67C0">
      <w:rPr>
        <w:rFonts w:ascii="Times New Roman" w:hAnsi="Times New Roman" w:cs="Times New Roman"/>
        <w:sz w:val="24"/>
        <w:szCs w:val="24"/>
      </w:rPr>
      <w:fldChar w:fldCharType="begin"/>
    </w:r>
    <w:r w:rsidRPr="000A67C0">
      <w:rPr>
        <w:rFonts w:ascii="Times New Roman" w:hAnsi="Times New Roman" w:cs="Times New Roman"/>
        <w:sz w:val="24"/>
        <w:szCs w:val="24"/>
      </w:rPr>
      <w:instrText xml:space="preserve"> NUMPAGES   \* MERGEFORMAT </w:instrText>
    </w:r>
    <w:r w:rsidRPr="000A67C0">
      <w:rPr>
        <w:rFonts w:ascii="Times New Roman" w:hAnsi="Times New Roman" w:cs="Times New Roman"/>
        <w:sz w:val="24"/>
        <w:szCs w:val="24"/>
      </w:rPr>
      <w:fldChar w:fldCharType="separate"/>
    </w:r>
    <w:r w:rsidR="000828A1">
      <w:rPr>
        <w:rFonts w:ascii="Times New Roman" w:hAnsi="Times New Roman" w:cs="Times New Roman"/>
        <w:noProof/>
        <w:sz w:val="24"/>
        <w:szCs w:val="24"/>
      </w:rPr>
      <w:t>4</w:t>
    </w:r>
    <w:r w:rsidRPr="000A67C0">
      <w:rPr>
        <w:rFonts w:ascii="Times New Roman" w:hAnsi="Times New Roman" w:cs="Times New Roman"/>
        <w:noProof/>
        <w:sz w:val="24"/>
        <w:szCs w:val="24"/>
      </w:rPr>
      <w:fldChar w:fldCharType="end"/>
    </w:r>
    <w:r w:rsidRPr="000A67C0">
      <w:rPr>
        <w:rFonts w:ascii="Times New Roman" w:hAnsi="Times New Roman" w:cs="Times New Roman"/>
        <w:sz w:val="24"/>
        <w:szCs w:val="24"/>
      </w:rPr>
      <w:t>)</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Eireunaviivaa"/>
      <w:tblW w:w="10347" w:type="dxa"/>
      <w:tblLayout w:type="fixed"/>
      <w:tblLook w:val="04A0" w:firstRow="1" w:lastRow="0" w:firstColumn="1" w:lastColumn="0" w:noHBand="0" w:noVBand="1"/>
    </w:tblPr>
    <w:tblGrid>
      <w:gridCol w:w="1191"/>
      <w:gridCol w:w="4031"/>
      <w:gridCol w:w="2608"/>
      <w:gridCol w:w="1463"/>
      <w:gridCol w:w="1054"/>
    </w:tblGrid>
    <w:tr w:rsidR="00181FD0" w:rsidRPr="002A339C" w:rsidTr="00181FD0">
      <w:tc>
        <w:tcPr>
          <w:tcW w:w="1191" w:type="dxa"/>
        </w:tcPr>
        <w:p w:rsidR="00181FD0" w:rsidRPr="002A339C" w:rsidRDefault="00181FD0" w:rsidP="00181FD0">
          <w:pPr>
            <w:pStyle w:val="Header"/>
          </w:pPr>
          <w:r w:rsidRPr="002A339C">
            <w:rPr>
              <w:noProof/>
              <w:lang w:val="en-US"/>
            </w:rPr>
            <w:drawing>
              <wp:anchor distT="0" distB="0" distL="114300" distR="114300" simplePos="0" relativeHeight="251667456" behindDoc="1" locked="0" layoutInCell="1" allowOverlap="1" wp14:anchorId="5EAE6BF2" wp14:editId="64700AD6">
                <wp:simplePos x="0" y="0"/>
                <wp:positionH relativeFrom="column">
                  <wp:posOffset>-225213</wp:posOffset>
                </wp:positionH>
                <wp:positionV relativeFrom="paragraph">
                  <wp:posOffset>-40640</wp:posOffset>
                </wp:positionV>
                <wp:extent cx="2469515" cy="1720215"/>
                <wp:effectExtent l="0" t="0" r="6985" b="0"/>
                <wp:wrapNone/>
                <wp:docPr id="3" name="Kuva 3" descr="C:\Users\o934009\Desktop\Yhdenv.v.logo_ENG asiakirjapoh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934009\Desktop\Yhdenv.v.logo_ENG asiakirjapohj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69515" cy="17202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031" w:type="dxa"/>
        </w:tcPr>
        <w:p w:rsidR="00181FD0" w:rsidRPr="002A339C" w:rsidRDefault="00181FD0" w:rsidP="00181FD0">
          <w:pPr>
            <w:pStyle w:val="Header"/>
            <w:rPr>
              <w:sz w:val="28"/>
              <w:szCs w:val="28"/>
            </w:rPr>
          </w:pPr>
        </w:p>
      </w:tc>
      <w:tc>
        <w:tcPr>
          <w:tcW w:w="2608" w:type="dxa"/>
        </w:tcPr>
        <w:p w:rsidR="00181FD0" w:rsidRPr="002A339C" w:rsidRDefault="00181FD0" w:rsidP="00453D63">
          <w:pPr>
            <w:pStyle w:val="Header"/>
            <w:rPr>
              <w:b/>
            </w:rPr>
          </w:pPr>
          <w:proofErr w:type="spellStart"/>
          <w:r>
            <w:rPr>
              <w:b/>
            </w:rPr>
            <w:t>Statement</w:t>
          </w:r>
          <w:proofErr w:type="spellEnd"/>
        </w:p>
      </w:tc>
      <w:tc>
        <w:tcPr>
          <w:tcW w:w="1463" w:type="dxa"/>
        </w:tcPr>
        <w:p w:rsidR="00181FD0" w:rsidRPr="002A339C" w:rsidRDefault="00181FD0" w:rsidP="00181FD0">
          <w:pPr>
            <w:pStyle w:val="Header"/>
          </w:pPr>
        </w:p>
      </w:tc>
      <w:tc>
        <w:tcPr>
          <w:tcW w:w="1054" w:type="dxa"/>
        </w:tcPr>
        <w:p w:rsidR="00181FD0" w:rsidRPr="002A339C" w:rsidRDefault="00181FD0" w:rsidP="00181FD0">
          <w:pPr>
            <w:pStyle w:val="Header"/>
            <w:jc w:val="center"/>
          </w:pPr>
          <w:r w:rsidRPr="002A339C">
            <w:fldChar w:fldCharType="begin"/>
          </w:r>
          <w:r w:rsidRPr="002A339C">
            <w:instrText xml:space="preserve"> PAGE   \* MERGEFORMAT </w:instrText>
          </w:r>
          <w:r w:rsidRPr="002A339C">
            <w:fldChar w:fldCharType="separate"/>
          </w:r>
          <w:r w:rsidR="000828A1">
            <w:rPr>
              <w:noProof/>
            </w:rPr>
            <w:t>1</w:t>
          </w:r>
          <w:r w:rsidRPr="002A339C">
            <w:fldChar w:fldCharType="end"/>
          </w:r>
          <w:r w:rsidRPr="002A339C">
            <w:t xml:space="preserve"> (</w:t>
          </w:r>
          <w:r w:rsidR="000828A1">
            <w:fldChar w:fldCharType="begin"/>
          </w:r>
          <w:r w:rsidR="000828A1">
            <w:instrText xml:space="preserve"> NUMPAGES   \* MERGEFORMAT </w:instrText>
          </w:r>
          <w:r w:rsidR="000828A1">
            <w:fldChar w:fldCharType="separate"/>
          </w:r>
          <w:r w:rsidR="000828A1">
            <w:rPr>
              <w:noProof/>
            </w:rPr>
            <w:t>1</w:t>
          </w:r>
          <w:r w:rsidR="000828A1">
            <w:rPr>
              <w:noProof/>
            </w:rPr>
            <w:fldChar w:fldCharType="end"/>
          </w:r>
          <w:r w:rsidRPr="002A339C">
            <w:t>)</w:t>
          </w:r>
        </w:p>
      </w:tc>
    </w:tr>
    <w:tr w:rsidR="00181FD0" w:rsidRPr="002A339C" w:rsidTr="00181FD0">
      <w:trPr>
        <w:trHeight w:val="272"/>
      </w:trPr>
      <w:tc>
        <w:tcPr>
          <w:tcW w:w="1191" w:type="dxa"/>
        </w:tcPr>
        <w:p w:rsidR="00181FD0" w:rsidRPr="002A339C" w:rsidRDefault="00181FD0" w:rsidP="00181FD0">
          <w:pPr>
            <w:pStyle w:val="Header"/>
          </w:pPr>
        </w:p>
      </w:tc>
      <w:tc>
        <w:tcPr>
          <w:tcW w:w="4031" w:type="dxa"/>
          <w:vMerge w:val="restart"/>
        </w:tcPr>
        <w:p w:rsidR="00181FD0" w:rsidRPr="002A339C" w:rsidRDefault="00181FD0" w:rsidP="00181FD0">
          <w:pPr>
            <w:pStyle w:val="Header"/>
          </w:pPr>
        </w:p>
      </w:tc>
      <w:tc>
        <w:tcPr>
          <w:tcW w:w="2608" w:type="dxa"/>
        </w:tcPr>
        <w:p w:rsidR="00181FD0" w:rsidRPr="002A339C" w:rsidRDefault="00181FD0" w:rsidP="00181FD0">
          <w:pPr>
            <w:pStyle w:val="Header"/>
          </w:pPr>
        </w:p>
      </w:tc>
      <w:tc>
        <w:tcPr>
          <w:tcW w:w="2517" w:type="dxa"/>
          <w:gridSpan w:val="2"/>
        </w:tcPr>
        <w:p w:rsidR="00181FD0" w:rsidRPr="002A339C" w:rsidRDefault="00181FD0" w:rsidP="00181FD0">
          <w:pPr>
            <w:pStyle w:val="Header"/>
          </w:pPr>
        </w:p>
      </w:tc>
    </w:tr>
    <w:tr w:rsidR="00181FD0" w:rsidRPr="002A339C" w:rsidTr="00181FD0">
      <w:trPr>
        <w:trHeight w:val="272"/>
      </w:trPr>
      <w:tc>
        <w:tcPr>
          <w:tcW w:w="1191" w:type="dxa"/>
        </w:tcPr>
        <w:p w:rsidR="00181FD0" w:rsidRPr="002A339C" w:rsidRDefault="00181FD0" w:rsidP="00181FD0">
          <w:pPr>
            <w:pStyle w:val="Header"/>
          </w:pPr>
        </w:p>
      </w:tc>
      <w:tc>
        <w:tcPr>
          <w:tcW w:w="4031" w:type="dxa"/>
          <w:vMerge/>
        </w:tcPr>
        <w:p w:rsidR="00181FD0" w:rsidRPr="002A339C" w:rsidRDefault="00181FD0" w:rsidP="00181FD0">
          <w:pPr>
            <w:pStyle w:val="Header"/>
          </w:pPr>
        </w:p>
      </w:tc>
      <w:tc>
        <w:tcPr>
          <w:tcW w:w="2608" w:type="dxa"/>
        </w:tcPr>
        <w:p w:rsidR="00181FD0" w:rsidRPr="002A339C" w:rsidRDefault="00181FD0" w:rsidP="00181FD0">
          <w:pPr>
            <w:pStyle w:val="Header"/>
          </w:pPr>
        </w:p>
      </w:tc>
      <w:tc>
        <w:tcPr>
          <w:tcW w:w="2517" w:type="dxa"/>
          <w:gridSpan w:val="2"/>
        </w:tcPr>
        <w:p w:rsidR="00181FD0" w:rsidRPr="002A339C" w:rsidRDefault="00181FD0" w:rsidP="00181FD0">
          <w:pPr>
            <w:pStyle w:val="Header"/>
          </w:pPr>
        </w:p>
      </w:tc>
    </w:tr>
    <w:tr w:rsidR="00181FD0" w:rsidRPr="002A339C" w:rsidTr="00181FD0">
      <w:trPr>
        <w:trHeight w:val="272"/>
      </w:trPr>
      <w:tc>
        <w:tcPr>
          <w:tcW w:w="1191" w:type="dxa"/>
        </w:tcPr>
        <w:p w:rsidR="00181FD0" w:rsidRPr="002A339C" w:rsidRDefault="00181FD0" w:rsidP="00181FD0">
          <w:pPr>
            <w:pStyle w:val="Header"/>
          </w:pPr>
        </w:p>
      </w:tc>
      <w:tc>
        <w:tcPr>
          <w:tcW w:w="4031" w:type="dxa"/>
          <w:vMerge/>
        </w:tcPr>
        <w:p w:rsidR="00181FD0" w:rsidRPr="002A339C" w:rsidRDefault="00181FD0" w:rsidP="00181FD0">
          <w:pPr>
            <w:pStyle w:val="Header"/>
          </w:pPr>
        </w:p>
      </w:tc>
      <w:tc>
        <w:tcPr>
          <w:tcW w:w="2608" w:type="dxa"/>
        </w:tcPr>
        <w:p w:rsidR="00181FD0" w:rsidRPr="002A339C" w:rsidRDefault="00181FD0" w:rsidP="00252468">
          <w:pPr>
            <w:pStyle w:val="Header"/>
          </w:pPr>
          <w:r>
            <w:t>2</w:t>
          </w:r>
          <w:r w:rsidR="00252468">
            <w:t>1</w:t>
          </w:r>
          <w:r>
            <w:t>.2.2019</w:t>
          </w:r>
        </w:p>
      </w:tc>
      <w:tc>
        <w:tcPr>
          <w:tcW w:w="2517" w:type="dxa"/>
          <w:gridSpan w:val="2"/>
        </w:tcPr>
        <w:p w:rsidR="00181FD0" w:rsidRPr="002A339C" w:rsidRDefault="00181FD0" w:rsidP="009607F8">
          <w:pPr>
            <w:pStyle w:val="Header"/>
          </w:pPr>
          <w:r w:rsidRPr="002A339C">
            <w:t>VVTDno-201</w:t>
          </w:r>
          <w:r>
            <w:t>9</w:t>
          </w:r>
          <w:r w:rsidRPr="002A339C">
            <w:t>-</w:t>
          </w:r>
          <w:r>
            <w:t>120</w:t>
          </w:r>
        </w:p>
      </w:tc>
    </w:tr>
  </w:tbl>
  <w:p w:rsidR="00181FD0" w:rsidRPr="002A339C" w:rsidRDefault="00181FD0" w:rsidP="000A67C0">
    <w:pPr>
      <w:pStyle w:val="Header"/>
      <w:rPr>
        <w:rFonts w:cs="Times New Roman"/>
      </w:rPr>
    </w:pPr>
  </w:p>
  <w:p w:rsidR="00181FD0" w:rsidRPr="002A339C" w:rsidRDefault="00181FD0" w:rsidP="000A67C0">
    <w:pPr>
      <w:pStyle w:val="Header"/>
      <w:rPr>
        <w:rFonts w:cs="Times New Roman"/>
      </w:rPr>
    </w:pPr>
  </w:p>
  <w:p w:rsidR="00181FD0" w:rsidRPr="002A339C" w:rsidRDefault="00181F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2C7"/>
    <w:rsid w:val="00013DFF"/>
    <w:rsid w:val="00071895"/>
    <w:rsid w:val="000828A1"/>
    <w:rsid w:val="000A67C0"/>
    <w:rsid w:val="00105218"/>
    <w:rsid w:val="00150BDC"/>
    <w:rsid w:val="00155F1C"/>
    <w:rsid w:val="001619EB"/>
    <w:rsid w:val="00181FD0"/>
    <w:rsid w:val="001A0836"/>
    <w:rsid w:val="001B64D6"/>
    <w:rsid w:val="00252468"/>
    <w:rsid w:val="002A339C"/>
    <w:rsid w:val="002A6F52"/>
    <w:rsid w:val="002B47F6"/>
    <w:rsid w:val="002E55E9"/>
    <w:rsid w:val="002F218D"/>
    <w:rsid w:val="002F3495"/>
    <w:rsid w:val="003A4330"/>
    <w:rsid w:val="003B4DF9"/>
    <w:rsid w:val="00413F1A"/>
    <w:rsid w:val="00430756"/>
    <w:rsid w:val="00453D63"/>
    <w:rsid w:val="00453E04"/>
    <w:rsid w:val="00490B20"/>
    <w:rsid w:val="004A2B92"/>
    <w:rsid w:val="004E1D92"/>
    <w:rsid w:val="004E7DBB"/>
    <w:rsid w:val="00532533"/>
    <w:rsid w:val="005A3E6C"/>
    <w:rsid w:val="00603489"/>
    <w:rsid w:val="00677B3E"/>
    <w:rsid w:val="006C6A05"/>
    <w:rsid w:val="006F5221"/>
    <w:rsid w:val="007355B9"/>
    <w:rsid w:val="00760088"/>
    <w:rsid w:val="0076235F"/>
    <w:rsid w:val="007638FA"/>
    <w:rsid w:val="007F0A0C"/>
    <w:rsid w:val="00806413"/>
    <w:rsid w:val="00840FD2"/>
    <w:rsid w:val="00864012"/>
    <w:rsid w:val="00890318"/>
    <w:rsid w:val="008A46BD"/>
    <w:rsid w:val="008B709F"/>
    <w:rsid w:val="00905827"/>
    <w:rsid w:val="00907B5B"/>
    <w:rsid w:val="00942BAC"/>
    <w:rsid w:val="009607F8"/>
    <w:rsid w:val="00960F90"/>
    <w:rsid w:val="009A3C5A"/>
    <w:rsid w:val="009C2113"/>
    <w:rsid w:val="009E4C93"/>
    <w:rsid w:val="00A31652"/>
    <w:rsid w:val="00A55FC4"/>
    <w:rsid w:val="00A96C5F"/>
    <w:rsid w:val="00AF5791"/>
    <w:rsid w:val="00B07D64"/>
    <w:rsid w:val="00B2043E"/>
    <w:rsid w:val="00B24A3B"/>
    <w:rsid w:val="00B4273F"/>
    <w:rsid w:val="00B7273B"/>
    <w:rsid w:val="00BC0F48"/>
    <w:rsid w:val="00BF5B53"/>
    <w:rsid w:val="00C0430F"/>
    <w:rsid w:val="00C0754E"/>
    <w:rsid w:val="00C27F63"/>
    <w:rsid w:val="00C61743"/>
    <w:rsid w:val="00C67302"/>
    <w:rsid w:val="00CC438F"/>
    <w:rsid w:val="00D11CE6"/>
    <w:rsid w:val="00D25CF6"/>
    <w:rsid w:val="00D32D9E"/>
    <w:rsid w:val="00D355D5"/>
    <w:rsid w:val="00D36FB9"/>
    <w:rsid w:val="00D95615"/>
    <w:rsid w:val="00DC3AA0"/>
    <w:rsid w:val="00DD66CD"/>
    <w:rsid w:val="00E10318"/>
    <w:rsid w:val="00E70085"/>
    <w:rsid w:val="00E96007"/>
    <w:rsid w:val="00EE547C"/>
    <w:rsid w:val="00F339EF"/>
    <w:rsid w:val="00F53E27"/>
    <w:rsid w:val="00F732C7"/>
    <w:rsid w:val="00FA1BB9"/>
    <w:rsid w:val="00FC3579"/>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791"/>
    <w:rPr>
      <w:rFonts w:ascii="Source Sans Pro" w:hAnsi="Source Sans Pro"/>
    </w:rPr>
  </w:style>
  <w:style w:type="paragraph" w:styleId="Heading1">
    <w:name w:val="heading 1"/>
    <w:basedOn w:val="Normal"/>
    <w:next w:val="Normal"/>
    <w:link w:val="Heading1Char"/>
    <w:uiPriority w:val="9"/>
    <w:qFormat/>
    <w:rsid w:val="00AF5791"/>
    <w:pPr>
      <w:keepNext/>
      <w:keepLines/>
      <w:spacing w:before="240" w:after="0"/>
      <w:outlineLvl w:val="0"/>
    </w:pPr>
    <w:rPr>
      <w:rFonts w:eastAsiaTheme="majorEastAsia"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F5791"/>
    <w:pPr>
      <w:keepNext/>
      <w:keepLines/>
      <w:spacing w:before="40" w:after="0"/>
      <w:outlineLvl w:val="1"/>
    </w:pPr>
    <w:rPr>
      <w:rFonts w:eastAsiaTheme="majorEastAsia"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38FA"/>
    <w:pPr>
      <w:tabs>
        <w:tab w:val="center" w:pos="4819"/>
        <w:tab w:val="right" w:pos="9638"/>
      </w:tabs>
      <w:spacing w:after="0" w:line="240" w:lineRule="auto"/>
    </w:pPr>
  </w:style>
  <w:style w:type="character" w:customStyle="1" w:styleId="HeaderChar">
    <w:name w:val="Header Char"/>
    <w:basedOn w:val="DefaultParagraphFont"/>
    <w:link w:val="Header"/>
    <w:uiPriority w:val="99"/>
    <w:rsid w:val="007638FA"/>
  </w:style>
  <w:style w:type="paragraph" w:styleId="Footer">
    <w:name w:val="footer"/>
    <w:basedOn w:val="Normal"/>
    <w:link w:val="FooterChar"/>
    <w:uiPriority w:val="99"/>
    <w:unhideWhenUsed/>
    <w:rsid w:val="007638FA"/>
    <w:pPr>
      <w:tabs>
        <w:tab w:val="center" w:pos="4819"/>
        <w:tab w:val="right" w:pos="9638"/>
      </w:tabs>
      <w:spacing w:after="0" w:line="240" w:lineRule="auto"/>
    </w:pPr>
  </w:style>
  <w:style w:type="character" w:customStyle="1" w:styleId="FooterChar">
    <w:name w:val="Footer Char"/>
    <w:basedOn w:val="DefaultParagraphFont"/>
    <w:link w:val="Footer"/>
    <w:uiPriority w:val="99"/>
    <w:rsid w:val="007638FA"/>
  </w:style>
  <w:style w:type="table" w:customStyle="1" w:styleId="Eireunaviivaa">
    <w:name w:val="Ei reunaviivaa"/>
    <w:basedOn w:val="TableNormal"/>
    <w:uiPriority w:val="99"/>
    <w:rsid w:val="007638FA"/>
    <w:pPr>
      <w:spacing w:after="0" w:line="240" w:lineRule="auto"/>
    </w:pPr>
    <w:rPr>
      <w:rFonts w:ascii="Times New Roman" w:eastAsia="Times New Roman" w:hAnsi="Times New Roman" w:cs="Times New Roman"/>
      <w:sz w:val="24"/>
      <w:szCs w:val="24"/>
    </w:rPr>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2E55E9"/>
    <w:rPr>
      <w:color w:val="808080"/>
    </w:rPr>
  </w:style>
  <w:style w:type="paragraph" w:styleId="BalloonText">
    <w:name w:val="Balloon Text"/>
    <w:basedOn w:val="Normal"/>
    <w:link w:val="BalloonTextChar"/>
    <w:uiPriority w:val="99"/>
    <w:semiHidden/>
    <w:unhideWhenUsed/>
    <w:rsid w:val="002E5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5E9"/>
    <w:rPr>
      <w:rFonts w:ascii="Tahoma" w:hAnsi="Tahoma" w:cs="Tahoma"/>
      <w:sz w:val="16"/>
      <w:szCs w:val="16"/>
    </w:rPr>
  </w:style>
  <w:style w:type="paragraph" w:styleId="Title">
    <w:name w:val="Title"/>
    <w:basedOn w:val="Normal"/>
    <w:next w:val="BodyText"/>
    <w:link w:val="TitleChar"/>
    <w:uiPriority w:val="10"/>
    <w:qFormat/>
    <w:rsid w:val="00AF5791"/>
    <w:pPr>
      <w:spacing w:after="240" w:line="240" w:lineRule="auto"/>
      <w:ind w:right="2835"/>
      <w:contextualSpacing/>
    </w:pPr>
    <w:rPr>
      <w:rFonts w:eastAsia="Times New Roman" w:cs="Times New Roman"/>
      <w:b/>
      <w:kern w:val="28"/>
      <w:sz w:val="24"/>
      <w:szCs w:val="52"/>
    </w:rPr>
  </w:style>
  <w:style w:type="character" w:customStyle="1" w:styleId="TitleChar">
    <w:name w:val="Title Char"/>
    <w:basedOn w:val="DefaultParagraphFont"/>
    <w:link w:val="Title"/>
    <w:uiPriority w:val="10"/>
    <w:rsid w:val="00AF5791"/>
    <w:rPr>
      <w:rFonts w:ascii="Source Sans Pro" w:eastAsia="Times New Roman" w:hAnsi="Source Sans Pro" w:cs="Times New Roman"/>
      <w:b/>
      <w:kern w:val="28"/>
      <w:sz w:val="24"/>
      <w:szCs w:val="52"/>
    </w:rPr>
  </w:style>
  <w:style w:type="paragraph" w:styleId="BodyText">
    <w:name w:val="Body Text"/>
    <w:basedOn w:val="Normal"/>
    <w:link w:val="BodyTextChar"/>
    <w:uiPriority w:val="99"/>
    <w:semiHidden/>
    <w:unhideWhenUsed/>
    <w:rsid w:val="00DD66CD"/>
    <w:pPr>
      <w:spacing w:after="120"/>
    </w:pPr>
  </w:style>
  <w:style w:type="character" w:customStyle="1" w:styleId="BodyTextChar">
    <w:name w:val="Body Text Char"/>
    <w:basedOn w:val="DefaultParagraphFont"/>
    <w:link w:val="BodyText"/>
    <w:uiPriority w:val="99"/>
    <w:semiHidden/>
    <w:rsid w:val="00DD66CD"/>
  </w:style>
  <w:style w:type="character" w:customStyle="1" w:styleId="Heading1Char">
    <w:name w:val="Heading 1 Char"/>
    <w:basedOn w:val="DefaultParagraphFont"/>
    <w:link w:val="Heading1"/>
    <w:uiPriority w:val="9"/>
    <w:rsid w:val="00AF5791"/>
    <w:rPr>
      <w:rFonts w:ascii="Source Sans Pro" w:eastAsiaTheme="majorEastAsia" w:hAnsi="Source Sans Pro"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AF5791"/>
    <w:rPr>
      <w:rFonts w:ascii="Source Sans Pro" w:eastAsiaTheme="majorEastAsia" w:hAnsi="Source Sans Pro" w:cstheme="majorBidi"/>
      <w:color w:val="365F91" w:themeColor="accent1" w:themeShade="BF"/>
      <w:sz w:val="26"/>
      <w:szCs w:val="26"/>
    </w:rPr>
  </w:style>
  <w:style w:type="character" w:styleId="Emphasis">
    <w:name w:val="Emphasis"/>
    <w:basedOn w:val="DefaultParagraphFont"/>
    <w:uiPriority w:val="20"/>
    <w:qFormat/>
    <w:rsid w:val="00AF5791"/>
    <w:rPr>
      <w:rFonts w:ascii="Source Sans Pro" w:hAnsi="Source Sans Pro"/>
      <w:i/>
      <w:iCs/>
    </w:rPr>
  </w:style>
  <w:style w:type="character" w:styleId="Strong">
    <w:name w:val="Strong"/>
    <w:basedOn w:val="DefaultParagraphFont"/>
    <w:uiPriority w:val="22"/>
    <w:qFormat/>
    <w:rsid w:val="009607F8"/>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791"/>
    <w:rPr>
      <w:rFonts w:ascii="Source Sans Pro" w:hAnsi="Source Sans Pro"/>
    </w:rPr>
  </w:style>
  <w:style w:type="paragraph" w:styleId="Heading1">
    <w:name w:val="heading 1"/>
    <w:basedOn w:val="Normal"/>
    <w:next w:val="Normal"/>
    <w:link w:val="Heading1Char"/>
    <w:uiPriority w:val="9"/>
    <w:qFormat/>
    <w:rsid w:val="00AF5791"/>
    <w:pPr>
      <w:keepNext/>
      <w:keepLines/>
      <w:spacing w:before="240" w:after="0"/>
      <w:outlineLvl w:val="0"/>
    </w:pPr>
    <w:rPr>
      <w:rFonts w:eastAsiaTheme="majorEastAsia"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F5791"/>
    <w:pPr>
      <w:keepNext/>
      <w:keepLines/>
      <w:spacing w:before="40" w:after="0"/>
      <w:outlineLvl w:val="1"/>
    </w:pPr>
    <w:rPr>
      <w:rFonts w:eastAsiaTheme="majorEastAsia"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38FA"/>
    <w:pPr>
      <w:tabs>
        <w:tab w:val="center" w:pos="4819"/>
        <w:tab w:val="right" w:pos="9638"/>
      </w:tabs>
      <w:spacing w:after="0" w:line="240" w:lineRule="auto"/>
    </w:pPr>
  </w:style>
  <w:style w:type="character" w:customStyle="1" w:styleId="HeaderChar">
    <w:name w:val="Header Char"/>
    <w:basedOn w:val="DefaultParagraphFont"/>
    <w:link w:val="Header"/>
    <w:uiPriority w:val="99"/>
    <w:rsid w:val="007638FA"/>
  </w:style>
  <w:style w:type="paragraph" w:styleId="Footer">
    <w:name w:val="footer"/>
    <w:basedOn w:val="Normal"/>
    <w:link w:val="FooterChar"/>
    <w:uiPriority w:val="99"/>
    <w:unhideWhenUsed/>
    <w:rsid w:val="007638FA"/>
    <w:pPr>
      <w:tabs>
        <w:tab w:val="center" w:pos="4819"/>
        <w:tab w:val="right" w:pos="9638"/>
      </w:tabs>
      <w:spacing w:after="0" w:line="240" w:lineRule="auto"/>
    </w:pPr>
  </w:style>
  <w:style w:type="character" w:customStyle="1" w:styleId="FooterChar">
    <w:name w:val="Footer Char"/>
    <w:basedOn w:val="DefaultParagraphFont"/>
    <w:link w:val="Footer"/>
    <w:uiPriority w:val="99"/>
    <w:rsid w:val="007638FA"/>
  </w:style>
  <w:style w:type="table" w:customStyle="1" w:styleId="Eireunaviivaa">
    <w:name w:val="Ei reunaviivaa"/>
    <w:basedOn w:val="TableNormal"/>
    <w:uiPriority w:val="99"/>
    <w:rsid w:val="007638FA"/>
    <w:pPr>
      <w:spacing w:after="0" w:line="240" w:lineRule="auto"/>
    </w:pPr>
    <w:rPr>
      <w:rFonts w:ascii="Times New Roman" w:eastAsia="Times New Roman" w:hAnsi="Times New Roman" w:cs="Times New Roman"/>
      <w:sz w:val="24"/>
      <w:szCs w:val="24"/>
    </w:rPr>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2E55E9"/>
    <w:rPr>
      <w:color w:val="808080"/>
    </w:rPr>
  </w:style>
  <w:style w:type="paragraph" w:styleId="BalloonText">
    <w:name w:val="Balloon Text"/>
    <w:basedOn w:val="Normal"/>
    <w:link w:val="BalloonTextChar"/>
    <w:uiPriority w:val="99"/>
    <w:semiHidden/>
    <w:unhideWhenUsed/>
    <w:rsid w:val="002E5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5E9"/>
    <w:rPr>
      <w:rFonts w:ascii="Tahoma" w:hAnsi="Tahoma" w:cs="Tahoma"/>
      <w:sz w:val="16"/>
      <w:szCs w:val="16"/>
    </w:rPr>
  </w:style>
  <w:style w:type="paragraph" w:styleId="Title">
    <w:name w:val="Title"/>
    <w:basedOn w:val="Normal"/>
    <w:next w:val="BodyText"/>
    <w:link w:val="TitleChar"/>
    <w:uiPriority w:val="10"/>
    <w:qFormat/>
    <w:rsid w:val="00AF5791"/>
    <w:pPr>
      <w:spacing w:after="240" w:line="240" w:lineRule="auto"/>
      <w:ind w:right="2835"/>
      <w:contextualSpacing/>
    </w:pPr>
    <w:rPr>
      <w:rFonts w:eastAsia="Times New Roman" w:cs="Times New Roman"/>
      <w:b/>
      <w:kern w:val="28"/>
      <w:sz w:val="24"/>
      <w:szCs w:val="52"/>
    </w:rPr>
  </w:style>
  <w:style w:type="character" w:customStyle="1" w:styleId="TitleChar">
    <w:name w:val="Title Char"/>
    <w:basedOn w:val="DefaultParagraphFont"/>
    <w:link w:val="Title"/>
    <w:uiPriority w:val="10"/>
    <w:rsid w:val="00AF5791"/>
    <w:rPr>
      <w:rFonts w:ascii="Source Sans Pro" w:eastAsia="Times New Roman" w:hAnsi="Source Sans Pro" w:cs="Times New Roman"/>
      <w:b/>
      <w:kern w:val="28"/>
      <w:sz w:val="24"/>
      <w:szCs w:val="52"/>
    </w:rPr>
  </w:style>
  <w:style w:type="paragraph" w:styleId="BodyText">
    <w:name w:val="Body Text"/>
    <w:basedOn w:val="Normal"/>
    <w:link w:val="BodyTextChar"/>
    <w:uiPriority w:val="99"/>
    <w:semiHidden/>
    <w:unhideWhenUsed/>
    <w:rsid w:val="00DD66CD"/>
    <w:pPr>
      <w:spacing w:after="120"/>
    </w:pPr>
  </w:style>
  <w:style w:type="character" w:customStyle="1" w:styleId="BodyTextChar">
    <w:name w:val="Body Text Char"/>
    <w:basedOn w:val="DefaultParagraphFont"/>
    <w:link w:val="BodyText"/>
    <w:uiPriority w:val="99"/>
    <w:semiHidden/>
    <w:rsid w:val="00DD66CD"/>
  </w:style>
  <w:style w:type="character" w:customStyle="1" w:styleId="Heading1Char">
    <w:name w:val="Heading 1 Char"/>
    <w:basedOn w:val="DefaultParagraphFont"/>
    <w:link w:val="Heading1"/>
    <w:uiPriority w:val="9"/>
    <w:rsid w:val="00AF5791"/>
    <w:rPr>
      <w:rFonts w:ascii="Source Sans Pro" w:eastAsiaTheme="majorEastAsia" w:hAnsi="Source Sans Pro"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AF5791"/>
    <w:rPr>
      <w:rFonts w:ascii="Source Sans Pro" w:eastAsiaTheme="majorEastAsia" w:hAnsi="Source Sans Pro" w:cstheme="majorBidi"/>
      <w:color w:val="365F91" w:themeColor="accent1" w:themeShade="BF"/>
      <w:sz w:val="26"/>
      <w:szCs w:val="26"/>
    </w:rPr>
  </w:style>
  <w:style w:type="character" w:styleId="Emphasis">
    <w:name w:val="Emphasis"/>
    <w:basedOn w:val="DefaultParagraphFont"/>
    <w:uiPriority w:val="20"/>
    <w:qFormat/>
    <w:rsid w:val="00AF5791"/>
    <w:rPr>
      <w:rFonts w:ascii="Source Sans Pro" w:hAnsi="Source Sans Pro"/>
      <w:i/>
      <w:iCs/>
    </w:rPr>
  </w:style>
  <w:style w:type="character" w:styleId="Strong">
    <w:name w:val="Strong"/>
    <w:basedOn w:val="DefaultParagraphFont"/>
    <w:uiPriority w:val="22"/>
    <w:qFormat/>
    <w:rsid w:val="009607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43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F1C19-DD28-4364-94B1-40D85224A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8A00D-7B24-48F5-8915-513FD520B75D}">
  <ds:schemaRefs>
    <ds:schemaRef ds:uri="http://schemas.microsoft.com/sharepoint/v3/contenttype/forms"/>
  </ds:schemaRefs>
</ds:datastoreItem>
</file>

<file path=customXml/itemProps3.xml><?xml version="1.0" encoding="utf-8"?>
<ds:datastoreItem xmlns:ds="http://schemas.openxmlformats.org/officeDocument/2006/customXml" ds:itemID="{4A95E887-EAA3-434A-ABC9-4A1F842B9E3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3BBA8EC-344B-2F42-8163-B4F9DF065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1592</Words>
  <Characters>9076</Characters>
  <Application>Microsoft Macintosh Word</Application>
  <DocSecurity>0</DocSecurity>
  <Lines>75</Lines>
  <Paragraphs>21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HALTIK</Company>
  <LinksUpToDate>false</LinksUpToDate>
  <CharactersWithSpaces>10647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Roth Venla</dc:creator>
  <cp:lastModifiedBy>Rebecca</cp:lastModifiedBy>
  <cp:revision>2</cp:revision>
  <cp:lastPrinted>2019-02-21T12:45:00Z</cp:lastPrinted>
  <dcterms:created xsi:type="dcterms:W3CDTF">2019-03-28T15:04:00Z</dcterms:created>
  <dcterms:modified xsi:type="dcterms:W3CDTF">2019-03-28T15:04:00Z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